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sz w:val="44"/>
          <w:szCs w:val="44"/>
        </w:rPr>
      </w:pPr>
      <w:r>
        <w:rPr>
          <w:rFonts w:hint="eastAsia" w:ascii="Times New Roman" w:hAnsi="Times New Roman" w:eastAsia="方正小标宋简体"/>
          <w:sz w:val="44"/>
          <w:szCs w:val="44"/>
        </w:rPr>
        <w:t>溆浦县职业中等专业学校畜禽生产技术</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sz w:val="44"/>
          <w:szCs w:val="44"/>
        </w:rPr>
      </w:pPr>
      <w:r>
        <w:rPr>
          <w:rFonts w:hint="eastAsia" w:ascii="Times New Roman" w:hAnsi="Times New Roman" w:eastAsia="方正小标宋简体"/>
          <w:sz w:val="44"/>
          <w:szCs w:val="44"/>
        </w:rPr>
        <w:t>专业人才培养方案</w:t>
      </w:r>
    </w:p>
    <w:p>
      <w:pPr>
        <w:overflowPunct w:val="0"/>
        <w:adjustRightInd w:val="0"/>
        <w:snapToGrid w:val="0"/>
        <w:spacing w:line="276" w:lineRule="auto"/>
        <w:jc w:val="center"/>
        <w:rPr>
          <w:rFonts w:eastAsia="方正小标宋简体"/>
          <w:sz w:val="44"/>
          <w:szCs w:val="44"/>
        </w:rPr>
      </w:pPr>
    </w:p>
    <w:p>
      <w:pPr>
        <w:overflowPunct w:val="0"/>
        <w:adjustRightInd w:val="0"/>
        <w:ind w:firstLine="640" w:firstLineChars="200"/>
        <w:outlineLvl w:val="0"/>
        <w:rPr>
          <w:rFonts w:eastAsia="黑体"/>
          <w:szCs w:val="32"/>
        </w:rPr>
      </w:pPr>
      <w:r>
        <w:rPr>
          <w:rFonts w:hint="eastAsia" w:eastAsia="黑体"/>
          <w:szCs w:val="32"/>
        </w:rPr>
        <w:t>一、专业名称及代码</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专业名称: 畜禽生产技术</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专业代码：610301</w:t>
      </w:r>
    </w:p>
    <w:p>
      <w:pPr>
        <w:overflowPunct w:val="0"/>
        <w:adjustRightInd w:val="0"/>
        <w:ind w:firstLine="640" w:firstLineChars="200"/>
        <w:outlineLvl w:val="0"/>
        <w:rPr>
          <w:rFonts w:eastAsia="黑体"/>
          <w:szCs w:val="32"/>
        </w:rPr>
      </w:pPr>
      <w:r>
        <w:rPr>
          <w:rFonts w:hint="eastAsia" w:eastAsia="黑体"/>
          <w:szCs w:val="32"/>
        </w:rPr>
        <w:t>二、入学要求</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初中毕业生或具有同等学历者。</w:t>
      </w:r>
    </w:p>
    <w:p>
      <w:pPr>
        <w:overflowPunct w:val="0"/>
        <w:adjustRightInd w:val="0"/>
        <w:ind w:firstLine="640" w:firstLineChars="200"/>
        <w:outlineLvl w:val="0"/>
        <w:rPr>
          <w:rFonts w:eastAsia="黑体"/>
          <w:szCs w:val="32"/>
        </w:rPr>
      </w:pPr>
      <w:r>
        <w:rPr>
          <w:rFonts w:hint="eastAsia" w:eastAsia="黑体"/>
          <w:szCs w:val="32"/>
        </w:rPr>
        <w:t>三、修业年限</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全日制3年。</w:t>
      </w:r>
    </w:p>
    <w:p>
      <w:pPr>
        <w:overflowPunct w:val="0"/>
        <w:adjustRightInd w:val="0"/>
        <w:ind w:firstLine="640" w:firstLineChars="200"/>
        <w:outlineLvl w:val="0"/>
        <w:rPr>
          <w:rFonts w:eastAsia="黑体"/>
          <w:szCs w:val="32"/>
        </w:rPr>
      </w:pPr>
      <w:r>
        <w:rPr>
          <w:rFonts w:hint="eastAsia" w:eastAsia="黑体"/>
          <w:szCs w:val="32"/>
        </w:rPr>
        <w:t>四、职业面向</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本专业毕业生可在畜禽养殖、饲料加工企业、动物疫病控制中心、畜禽生产技术推广服务部门、特种动物饲养、饲料兽药营销、动物检疫和食品卫生检验等单位从事技术、推广、管理等工作。</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具体可见下表：</w:t>
      </w:r>
    </w:p>
    <w:tbl>
      <w:tblPr>
        <w:tblStyle w:val="12"/>
        <w:tblpPr w:leftFromText="180" w:rightFromText="180" w:vertAnchor="text" w:horzAnchor="page" w:tblpXSpec="center" w:tblpY="231"/>
        <w:tblOverlap w:val="never"/>
        <w:tblW w:w="97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488"/>
        <w:gridCol w:w="1347"/>
        <w:gridCol w:w="1466"/>
        <w:gridCol w:w="1647"/>
        <w:gridCol w:w="2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668"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专业所属大类（代码）</w:t>
            </w:r>
          </w:p>
        </w:tc>
        <w:tc>
          <w:tcPr>
            <w:tcW w:w="1488"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专业类别（代码）</w:t>
            </w:r>
          </w:p>
        </w:tc>
        <w:tc>
          <w:tcPr>
            <w:tcW w:w="13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可从事行业</w:t>
            </w:r>
          </w:p>
        </w:tc>
        <w:tc>
          <w:tcPr>
            <w:tcW w:w="1466"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主要职业</w:t>
            </w:r>
          </w:p>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类别</w:t>
            </w:r>
          </w:p>
        </w:tc>
        <w:tc>
          <w:tcPr>
            <w:tcW w:w="16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主要岗位</w:t>
            </w:r>
          </w:p>
        </w:tc>
        <w:tc>
          <w:tcPr>
            <w:tcW w:w="2092"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职业技能证书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668"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p>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农林牧渔大类（61）</w:t>
            </w:r>
          </w:p>
        </w:tc>
        <w:tc>
          <w:tcPr>
            <w:tcW w:w="1488" w:type="dxa"/>
            <w:vMerge w:val="restart"/>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p>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畜牧业类（6103）</w:t>
            </w:r>
          </w:p>
        </w:tc>
        <w:tc>
          <w:tcPr>
            <w:tcW w:w="13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畜禽养殖</w:t>
            </w:r>
          </w:p>
        </w:tc>
        <w:tc>
          <w:tcPr>
            <w:tcW w:w="1466"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养殖类</w:t>
            </w:r>
          </w:p>
        </w:tc>
        <w:tc>
          <w:tcPr>
            <w:tcW w:w="16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畜禽养殖技术员</w:t>
            </w:r>
          </w:p>
        </w:tc>
        <w:tc>
          <w:tcPr>
            <w:tcW w:w="2092"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畜禽饲养工（中级）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668"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p>
        </w:tc>
        <w:tc>
          <w:tcPr>
            <w:tcW w:w="1488"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p>
        </w:tc>
        <w:tc>
          <w:tcPr>
            <w:tcW w:w="13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畜禽疾病防治</w:t>
            </w:r>
          </w:p>
        </w:tc>
        <w:tc>
          <w:tcPr>
            <w:tcW w:w="1466"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防治类</w:t>
            </w:r>
          </w:p>
        </w:tc>
        <w:tc>
          <w:tcPr>
            <w:tcW w:w="16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畜禽疾病防治技术员</w:t>
            </w:r>
          </w:p>
        </w:tc>
        <w:tc>
          <w:tcPr>
            <w:tcW w:w="2092"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动物疫病防治员（中级）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668"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p>
        </w:tc>
        <w:tc>
          <w:tcPr>
            <w:tcW w:w="1488" w:type="dxa"/>
            <w:vMerge w:val="continue"/>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p>
        </w:tc>
        <w:tc>
          <w:tcPr>
            <w:tcW w:w="13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饲料生产与销售</w:t>
            </w:r>
          </w:p>
        </w:tc>
        <w:tc>
          <w:tcPr>
            <w:tcW w:w="1466"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销售类</w:t>
            </w:r>
          </w:p>
        </w:tc>
        <w:tc>
          <w:tcPr>
            <w:tcW w:w="16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饲料销售</w:t>
            </w:r>
          </w:p>
        </w:tc>
        <w:tc>
          <w:tcPr>
            <w:tcW w:w="2092"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具备相应专业能力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668" w:type="dxa"/>
            <w:vMerge w:val="continue"/>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p>
        </w:tc>
        <w:tc>
          <w:tcPr>
            <w:tcW w:w="1488" w:type="dxa"/>
            <w:vMerge w:val="continue"/>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p>
        </w:tc>
        <w:tc>
          <w:tcPr>
            <w:tcW w:w="13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畜禽疾病检疫</w:t>
            </w:r>
          </w:p>
        </w:tc>
        <w:tc>
          <w:tcPr>
            <w:tcW w:w="1466"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检疫类</w:t>
            </w:r>
          </w:p>
        </w:tc>
        <w:tc>
          <w:tcPr>
            <w:tcW w:w="1647"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畜禽疾病检验技术员</w:t>
            </w:r>
          </w:p>
        </w:tc>
        <w:tc>
          <w:tcPr>
            <w:tcW w:w="2092" w:type="dxa"/>
            <w:vAlign w:val="center"/>
          </w:tcPr>
          <w:p>
            <w:pPr>
              <w:pStyle w:val="1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动物检疫检验员（中级）</w:t>
            </w:r>
          </w:p>
        </w:tc>
      </w:tr>
    </w:tbl>
    <w:p>
      <w:pPr>
        <w:pStyle w:val="17"/>
        <w:spacing w:line="360" w:lineRule="auto"/>
        <w:rPr>
          <w:rFonts w:asciiTheme="minorEastAsia" w:hAnsiTheme="minorEastAsia" w:eastAsiaTheme="minorEastAsia" w:cstheme="minorEastAsia"/>
          <w:kern w:val="0"/>
          <w:sz w:val="28"/>
          <w:szCs w:val="28"/>
        </w:rPr>
      </w:pPr>
    </w:p>
    <w:p>
      <w:pPr>
        <w:overflowPunct w:val="0"/>
        <w:adjustRightInd w:val="0"/>
        <w:ind w:firstLine="640" w:firstLineChars="200"/>
        <w:outlineLvl w:val="0"/>
        <w:rPr>
          <w:rFonts w:eastAsia="黑体"/>
          <w:szCs w:val="32"/>
        </w:rPr>
      </w:pPr>
      <w:r>
        <w:rPr>
          <w:rFonts w:hint="eastAsia" w:eastAsia="黑体"/>
          <w:szCs w:val="32"/>
        </w:rPr>
        <w:t>五、培养目标与培养规格</w:t>
      </w:r>
    </w:p>
    <w:p>
      <w:pPr>
        <w:overflowPunct w:val="0"/>
        <w:adjustRightInd w:val="0"/>
        <w:ind w:firstLine="643" w:firstLineChars="200"/>
        <w:outlineLvl w:val="0"/>
        <w:rPr>
          <w:rFonts w:eastAsia="楷体_GB2312"/>
          <w:b/>
          <w:szCs w:val="32"/>
        </w:rPr>
      </w:pPr>
      <w:r>
        <w:rPr>
          <w:rFonts w:hint="eastAsia" w:eastAsia="楷体_GB2312"/>
          <w:b/>
          <w:szCs w:val="32"/>
        </w:rPr>
        <w:t>（一）培养目标</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培养德、智、体、美全面发展，具有正确的人生观、价值观和良好的职业道德，掌握畜禽良种繁育、饲养管理、疾病防治、饲料生产等基本知识和技能，熟悉畜禽生产过程，能从事畜禽饲养管理、疾病防治、饲料分析、产品销售与服务的技术技能人才。</w:t>
      </w:r>
    </w:p>
    <w:p>
      <w:pPr>
        <w:overflowPunct w:val="0"/>
        <w:adjustRightInd w:val="0"/>
        <w:ind w:firstLine="643" w:firstLineChars="200"/>
        <w:outlineLvl w:val="0"/>
        <w:rPr>
          <w:rFonts w:eastAsia="楷体_GB2312"/>
          <w:b/>
          <w:szCs w:val="32"/>
        </w:rPr>
      </w:pPr>
      <w:r>
        <w:rPr>
          <w:rFonts w:hint="eastAsia" w:eastAsia="楷体_GB2312"/>
          <w:b/>
          <w:szCs w:val="32"/>
        </w:rPr>
        <w:t>（二）培养规格</w:t>
      </w:r>
    </w:p>
    <w:p>
      <w:pPr>
        <w:overflowPunct w:val="0"/>
        <w:adjustRightInd w:val="0"/>
        <w:ind w:firstLine="643" w:firstLineChars="200"/>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1.素质结构</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（1）思想素质：热爱祖国，拥护党的基本路线，具有强烈的事业心和高度的社会责任感。</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（2）职业素质：具有良好的行为规范，热爱本行业工作，具有良好的职业道德和敬业精神。</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（3）身心素质：具有良好的体育锻炼和卫生习惯，达到国家规定的学生体质健康标准和军事训练标准，具有健康的体魄；对不断变化的技术与社会环境，具有良好的心理适应能力。</w:t>
      </w:r>
    </w:p>
    <w:p>
      <w:pPr>
        <w:overflowPunct w:val="0"/>
        <w:adjustRightInd w:val="0"/>
        <w:ind w:firstLine="643" w:firstLineChars="200"/>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2.知识结构</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（1）科学文化知识：掌握一定的政治、经济和计算机知识。</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（2）社会生活知识：热爱生活，具有法律法规观念，掌握社会生活基本知识和人际交往常识。</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（3）专业知识：掌握动物体正常解剖结构及生理、生化功能，掌握病理剖检知识；掌握致病因素、疾病发生、发展和转归的规律；掌握常见畜禽的饲养管理、饲料生产、兽药生产的基本知识。</w:t>
      </w:r>
    </w:p>
    <w:p>
      <w:pPr>
        <w:overflowPunct w:val="0"/>
        <w:adjustRightInd w:val="0"/>
        <w:ind w:firstLine="643" w:firstLineChars="200"/>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3.能力结构</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（1）学习能力：学会学习，具备综合利用各种手段查阅资料、获取所需信息和掌握新知识、新技术的能力。</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（2）社会适应能力：养成良好的生活习惯，适应合作与竞争，具备一定的组织、协调和交流、表达能力。</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能力：具有畜禽饲养管理、环境控制的能力；具有动物病理剖检、病原检验及常见疾病预防、诊断和治疗能力；具有动物卫生防疫的基本能力；具有饲料生产、饲料检化验能力；具有饲料、兽药营销及中小型畜禽生产技术企业生产组织的能力。</w:t>
      </w:r>
    </w:p>
    <w:p>
      <w:pPr>
        <w:overflowPunct w:val="0"/>
        <w:adjustRightInd w:val="0"/>
        <w:ind w:firstLine="640" w:firstLineChars="200"/>
        <w:outlineLvl w:val="0"/>
        <w:rPr>
          <w:rFonts w:eastAsia="黑体"/>
          <w:szCs w:val="32"/>
        </w:rPr>
      </w:pPr>
      <w:r>
        <w:rPr>
          <w:rFonts w:hint="eastAsia" w:eastAsia="黑体"/>
          <w:szCs w:val="32"/>
        </w:rPr>
        <w:t>六、课程设置及要求</w:t>
      </w:r>
    </w:p>
    <w:p>
      <w:pPr>
        <w:overflowPunct w:val="0"/>
        <w:adjustRightInd w:val="0"/>
        <w:ind w:firstLine="643" w:firstLineChars="200"/>
        <w:outlineLvl w:val="0"/>
        <w:rPr>
          <w:rFonts w:eastAsia="楷体_GB2312"/>
          <w:b/>
          <w:szCs w:val="32"/>
        </w:rPr>
      </w:pPr>
      <w:r>
        <w:rPr>
          <w:rFonts w:hint="eastAsia" w:eastAsia="楷体_GB2312"/>
          <w:b/>
          <w:szCs w:val="32"/>
        </w:rPr>
        <w:t>（一）公共基础课程</w:t>
      </w:r>
    </w:p>
    <w:tbl>
      <w:tblPr>
        <w:tblStyle w:val="11"/>
        <w:tblW w:w="879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395"/>
        <w:gridCol w:w="552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序号</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课程名称</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主要教学内容和要求</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中国特色社会主义</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中等职业学校学生必修的一门思想政治课。本课程以习近平新时代中国特色社会主义思想为指导，阐释中国特色社会主义的开创与发展，明确中国特色社会主义进入新时代的历史方位， 阐明中国特色社会主义建设“五位一体”总体布局的基本内容，引导学生树立对马克思主义的信仰、对中国特色社会主义的信念、对中华民族伟大复兴中国梦的信心，坚定中国特色社会主义道路自信、理论自信、 制度自信、文化自信，把爱国情、强国志、报国行自觉融入坚持和发展中国特色社会主义事业、建设社会主义现代化强国、实现中华民族伟大复兴的奋斗之中。</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2</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心理健康与职业生涯</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思想政治课。本课程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3</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职业道德与法治</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思想政治课。着眼于提高中职学生的职业道德素质和法治素养，对学生进行职业道德和法治教育。帮助学生理解全面依法治国的总目标和基本要求，了解职业道德和法律规范，增强职业道德和法治意识，养成爱岗敬业、依法办事的思维方式和行为习惯。</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4</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哲学与人生</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思想政治课。本课程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5</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语文</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公共基础课。本课程的任务是：指导学生正确理解与运用祖国的语言文字，注重基本技能的训练和思维发展，加强语文实践，培养语文的应用能力，为综合职业能力的形成以及继续学习奠定基础；提高学生的思想道德修养和科学文化素养，弘扬民族优秀文化和吸收人类进步文化：为培养高素质劳动者服务。</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6</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数学</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中等职业学校学生必修的一门公共基础课。本课程的任务是：使学生掌握必要的数学基础知识，具备必需的相关技能与能力，为学习专业知识、掌握职业技能、继续学习和终身发展奠定基础。</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7</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英语</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公共基础课。本课程的任务是：使学生掌握一定的英语基础知识和基本技能，培养学生在日常生活和职业场景中的英语应用能力；培养学生的文化意识，提高学生的思想品德修养和文化素养；为学生的职业生涯、继续学习和终身发展奠定基础。</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8</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信息技术</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 xml:space="preserve">中等职业学校学生必修的一门公共基础课。本课程的任务是：全面贯彻党的教育方针，落实立德树人根本任务，满足国家信息化发展战略对人才培养的要求，围绕中等职业学校信息技术学科核心素养，吸纳相关领域的前沿成果，引导学生通过对信息技术知识与技能的学习和应用实践，增强信息意识，掌握信息化环境中生产、生活与学习技能，提高参与信息社会的责任感与行为能力，为就业和未来发展奠定基础，成为德智体美劳全面发展的高素质劳动者和技术技能人才。 </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9</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体育与健康</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公共基础课。本课程的任务是：落实立德树人的根本任务，坚持健康第一的教育理念，通过传授体育与健康的知识、技能和方法，提高学生的体育运动能力，培养运动爱好和专长，使学生养成终身体育锻炼的习惯，形成健康的行为与生活方式，健全人格，强健体魄，具备身心健康和职业生涯发展必备的体育与健康学科核心素养，引领学生逐步形成正确的世界观、人生观和价值观，自觉践行社会主义核心价值观，成为德智体美劳全面发展的高素质劳动者和技术技能人才。</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10</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公共艺术</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公共基础课。本课程的任务是：坚持立德树人，充分发挥艺术学科独特的育人功能，以美育人，以文化人，以情动人，提高学生的审美和人文素养，积极引导学生主动参与艺术学习和实践，进一步积累和掌握艺术基础知识、基本技能和方法，培养学生感受美、鉴赏美、表现美、创造美的能力，帮助学生塑造美好心灵，健全健康人格，厚植民族情感，增进文化认同，坚定文化自信，成为德智体美劳全面发展的高素质劳动者和技术技能人才。</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11</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历史</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学生必修的一门公共基础课。本课程的任务是：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12</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化学</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中等职业学校化学课程的任务是全面贯彻党的教育方针，落实立德树人根本任务，服务发展，促进就业;培养学生的化学学科核心素养，使学生获得必备的化学基础知识、基本技能和基本方法，认识物质变化规律，养成发现、分析、解决化学相关问题的能力:培养学生精益求精的工匠精神、严谨求实的科学态度和勇于开拓的创新意识;引领学生逐步形成正确的世界观、人生观和价值观，自觉践行社会主义核心价值观，成为德智体美劳全面发展的高素质劳动者和技术技能人才。</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72</w:t>
            </w:r>
          </w:p>
        </w:tc>
      </w:tr>
    </w:tbl>
    <w:p>
      <w:pPr>
        <w:overflowPunct w:val="0"/>
        <w:adjustRightInd w:val="0"/>
        <w:outlineLvl w:val="0"/>
        <w:rPr>
          <w:rFonts w:eastAsia="楷体_GB2312"/>
          <w:b/>
          <w:szCs w:val="32"/>
        </w:rPr>
      </w:pPr>
    </w:p>
    <w:p>
      <w:pPr>
        <w:overflowPunct w:val="0"/>
        <w:adjustRightInd w:val="0"/>
        <w:outlineLvl w:val="0"/>
        <w:rPr>
          <w:rFonts w:eastAsia="楷体_GB2312"/>
          <w:b/>
          <w:szCs w:val="32"/>
        </w:rPr>
      </w:pPr>
    </w:p>
    <w:p>
      <w:pPr>
        <w:overflowPunct w:val="0"/>
        <w:adjustRightInd w:val="0"/>
        <w:ind w:firstLine="643" w:firstLineChars="200"/>
        <w:outlineLvl w:val="0"/>
        <w:rPr>
          <w:rFonts w:eastAsia="楷体_GB2312"/>
          <w:b/>
          <w:szCs w:val="32"/>
        </w:rPr>
      </w:pPr>
      <w:r>
        <w:rPr>
          <w:rFonts w:hint="eastAsia" w:eastAsia="楷体_GB2312"/>
          <w:b/>
          <w:szCs w:val="32"/>
        </w:rPr>
        <w:t>（二）专业（技能）课程</w:t>
      </w:r>
    </w:p>
    <w:tbl>
      <w:tblPr>
        <w:tblStyle w:val="11"/>
        <w:tblW w:w="879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395"/>
        <w:gridCol w:w="552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序号</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课程名称</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主要教学内容和要求</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畜禽解剖生理</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畜禽的细胞、组织、器官、系统的基本知识。通过学习使学生掌握各组织器官的形状、位置，了解相关经济动物的解剖知识。学习牛（羊）、猪、禽等动物的正常解剖学形态、构造及其生理功能。学习细胞学概论，基本组织、基本器官的结构及功能，掌握一定的畜禽解剖知识和器官组织的识别能力。</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2</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兽医基础</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畜禽诊疗的基本方法和常规检查的操作要领，通过学习使学生掌握临床检查的基本方法及注意事项，掌握动物疾病过程中器官的形态结构和病理变化，理解药物的作用，学会合理用药，能按标准程序独立进行家畜的保定和临床检查，并建立正确的诊断，能独立的进行病例剖检，掌握血样、粪样、病理材料的检验技术，并作出初步诊断，熟练掌握药物治疗的各种操作技术，掌握动物疾病的外科治疗基本技术。</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3</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畜禽繁殖与改良</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家畜生殖器官、激素及应用、母畜的发情及鉴定、人工授精技术、妊娠及妊娠诊断、分娩与助产及家畜繁殖新技术。要求学生了解家畜生殖器官的形态位置及构造，掌握母畜发情鉴定技术、人工授精技术、妊娠诊断技术及发情控制技术。</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4</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猪病防治</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猪常见传染病、常见寄生虫病、常见普通病及防疫程序。通过学习，使学生掌握猪重点传染病和寄生虫病的病原、诊断和防治措施，了解猪一般传染病的病原、诊断要点及防治措施，掌握猪普通病的病原、诊断和防治措施。</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5</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动物营养与饲料</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本课程主要讲授动物营养基础、畜禽营养需要、饲料营养特点及合理利用、饲料加工与调制和饲料配方设计等基本知识，使学生具备饲料加工、饲料检测及日粮配合的能力。</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5" w:hRule="atLeast"/>
        </w:trPr>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6</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畜禽生产</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猪的生物学特性、品种、育种、营养与饲料、猪场建设、种猪生产、幼猪培育、禽类养殖生产和牛羊养殖生产等知识；要求学生能够胜任现代养猪生产企业和养禽生产企业的生产管理和企业管理、以及牛羊的生产管理等工作。通过学习该课程使学生掌握猪的生产管理、猪场经营等知识与技术，掌握家禽饲养管理、禽场经营等知识与技术，能独立进行牛（羊）生产等工作。</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trPr>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7</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兽药与药理基础</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本课程主要讲授药物的基本知识、常用药物的性状、体内过程、用法、不良反应、药物中毒的一般处理原则、常用特效解毒药的作用、应用及注意事项。要求学生能熟练调配常用制剂及制定综合治疗方案。</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8</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禽病防治</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禽常见传染病、常见寄生虫病、常见普通病、防疫程序。通过学习，使学生了解禽常见传染病的病原特性，掌握其诊断和防治措施，了解禽常见寄生虫病的病原特性，掌握其诊断和防治措施，了解禽常见普通病的病因、掌握其诊断和防治措施。</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9</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牛羊病防治</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本课程主要讲授牛羊常共患传染病、牛羊寄生虫病、牛羊普通病。通过学习，使学生了解牛羊常见病的病因，掌握牛羊常见病的诊断、预防和治疗。</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10</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畜禽疫病防治</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本课程主要讲授畜禽疫病的病原和免疫，疫病预防和扑灭措施，疫病的发生和流行过程，畜禽疫病的传染药物。通过学习，使学生掌握畜禽常见疫病的预防和扑灭技术。</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11</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池塘养鱼</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本课程主要讲授常见鱼类的生活习性和生产方式以及养殖技术、名优水产品的养殖方法和技术。通过学习，使学生了解常见鱼类及其生活习性，掌握四大家鱼的繁殖与养殖技术。</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12</w:t>
            </w:r>
          </w:p>
        </w:tc>
        <w:tc>
          <w:tcPr>
            <w:tcW w:w="139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鱼病防治</w:t>
            </w:r>
          </w:p>
        </w:tc>
        <w:tc>
          <w:tcPr>
            <w:tcW w:w="552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本课程主要讲授鱼类疾病的种类、发病原因、病原体、传播途径、流行情况和防治方法。以及病毒性鱼病、细菌性鱼病、寄生虫鱼病的分类。通过学习，使学生掌握病毒性鱼病、细菌性鱼病、寄生虫鱼病的预防和治疗措施。</w:t>
            </w:r>
          </w:p>
        </w:tc>
        <w:tc>
          <w:tcPr>
            <w:tcW w:w="1134"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kern w:val="0"/>
                <w:sz w:val="28"/>
                <w:szCs w:val="24"/>
              </w:rPr>
            </w:pPr>
            <w:r>
              <w:rPr>
                <w:rFonts w:hint="eastAsia" w:ascii="仿宋_GB2312" w:hAnsi="仿宋_GB2312" w:eastAsia="仿宋_GB2312" w:cs="仿宋_GB2312"/>
                <w:kern w:val="0"/>
                <w:sz w:val="28"/>
                <w:szCs w:val="24"/>
              </w:rPr>
              <w:t>90</w:t>
            </w:r>
          </w:p>
        </w:tc>
      </w:tr>
    </w:tbl>
    <w:p>
      <w:pPr>
        <w:pStyle w:val="17"/>
        <w:spacing w:line="360" w:lineRule="auto"/>
        <w:rPr>
          <w:rFonts w:ascii="仿宋" w:hAnsi="仿宋" w:eastAsia="仿宋" w:cstheme="minorEastAsia"/>
          <w:sz w:val="32"/>
          <w:szCs w:val="32"/>
          <w:highlight w:val="yellow"/>
        </w:rPr>
      </w:pPr>
    </w:p>
    <w:p>
      <w:pPr>
        <w:overflowPunct w:val="0"/>
        <w:adjustRightInd w:val="0"/>
        <w:ind w:firstLine="640" w:firstLineChars="200"/>
        <w:outlineLvl w:val="0"/>
        <w:rPr>
          <w:rFonts w:eastAsia="黑体"/>
          <w:szCs w:val="32"/>
        </w:rPr>
      </w:pPr>
      <w:r>
        <w:rPr>
          <w:rFonts w:hint="eastAsia" w:eastAsia="黑体"/>
          <w:szCs w:val="32"/>
        </w:rPr>
        <w:t>七、教学进程总体安排</w:t>
      </w:r>
    </w:p>
    <w:p>
      <w:pPr>
        <w:spacing w:line="360" w:lineRule="auto"/>
        <w:rPr>
          <w:rFonts w:hint="eastAsia" w:ascii="仿宋_GB2312" w:hAnsi="仿宋_GB2312" w:eastAsia="仿宋_GB2312" w:cs="仿宋_GB2312"/>
          <w:sz w:val="32"/>
          <w:szCs w:val="32"/>
        </w:rPr>
      </w:pPr>
      <w:r>
        <w:rPr>
          <w:rFonts w:hint="eastAsia" w:ascii="仿宋" w:hAnsi="仿宋" w:eastAsia="仿宋" w:cstheme="minorEastAsia"/>
          <w:szCs w:val="32"/>
        </w:rPr>
        <w:t xml:space="preserve">  </w:t>
      </w:r>
      <w:r>
        <w:rPr>
          <w:rFonts w:hint="eastAsia" w:ascii="仿宋_GB2312" w:hAnsi="仿宋_GB2312" w:eastAsia="仿宋_GB2312" w:cs="仿宋_GB2312"/>
          <w:sz w:val="32"/>
          <w:szCs w:val="32"/>
        </w:rPr>
        <w:t xml:space="preserve">   见附表1</w:t>
      </w:r>
    </w:p>
    <w:p>
      <w:pPr>
        <w:spacing w:line="360" w:lineRule="auto"/>
        <w:rPr>
          <w:rFonts w:ascii="仿宋" w:hAnsi="仿宋" w:eastAsia="仿宋" w:cstheme="minorEastAsia"/>
          <w:szCs w:val="32"/>
        </w:rPr>
      </w:pPr>
    </w:p>
    <w:p>
      <w:pPr>
        <w:overflowPunct w:val="0"/>
        <w:adjustRightInd w:val="0"/>
        <w:ind w:firstLine="640" w:firstLineChars="200"/>
        <w:outlineLvl w:val="0"/>
        <w:rPr>
          <w:rFonts w:eastAsia="黑体"/>
          <w:szCs w:val="32"/>
        </w:rPr>
      </w:pPr>
      <w:r>
        <w:rPr>
          <w:rFonts w:hint="eastAsia" w:eastAsia="黑体"/>
          <w:szCs w:val="32"/>
        </w:rPr>
        <w:t>八、实施保障</w:t>
      </w:r>
    </w:p>
    <w:p>
      <w:pPr>
        <w:overflowPunct w:val="0"/>
        <w:adjustRightInd w:val="0"/>
        <w:ind w:firstLine="643" w:firstLineChars="200"/>
        <w:outlineLvl w:val="0"/>
        <w:rPr>
          <w:rFonts w:hint="eastAsia" w:eastAsia="楷体_GB2312"/>
          <w:b/>
          <w:szCs w:val="32"/>
        </w:rPr>
      </w:pPr>
      <w:r>
        <w:rPr>
          <w:rFonts w:hint="eastAsia" w:eastAsia="楷体_GB2312"/>
          <w:b/>
          <w:szCs w:val="32"/>
        </w:rPr>
        <w:t>（一）师资队伍</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双师型”专业教师团队，应有业务水平较高的专业带头人，并聘请行业企业技术骨干担任兼职教师。专职教师应达到10人，兼任教师应达到6人。专任教师应为相应专业或相关专业本科及以上学历，并具有中等职业学校教师资格证书、专业资格证书及中级以上专业技术职务所要求的业务能力；具备良好的师德和终身学习能力，适应产业行业发展需求，熟悉企业情况，积极开展课程教学改革。</w:t>
      </w:r>
    </w:p>
    <w:p>
      <w:pPr>
        <w:overflowPunct w:val="0"/>
        <w:adjustRightInd w:val="0"/>
        <w:ind w:firstLine="643" w:firstLineChars="200"/>
        <w:outlineLvl w:val="0"/>
        <w:rPr>
          <w:rFonts w:eastAsia="楷体_GB2312"/>
          <w:b/>
          <w:szCs w:val="32"/>
        </w:rPr>
      </w:pPr>
      <w:r>
        <w:rPr>
          <w:rFonts w:hint="eastAsia" w:eastAsia="楷体_GB2312"/>
          <w:b/>
          <w:szCs w:val="32"/>
        </w:rPr>
        <w:t>（二）教学设施</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1.校内实训基地建设</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建立显微镜实验室、动物解剖实验室、采精操作实验室等校内实习、实训基地，使之成为集教学、社会培训、技能鉴定、技术推广等功能于一体的综合实训基地。</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2.校外实训基地建设</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校外实习基地3-5所，与养殖场、饲料厂等建立长期稳定的合作。充分满足顶岗实习、毕业综合实习的需要，形成专业与企业共同管理、共同指导、共同评价的运作机制，保证本专业人才培养模式的顺利实施。结合专业建设，紧密联系行业，形成专业技术人员互聘互用、校企共同开展项目研究和产品研发的校外实训基地的长效运行机制。</w:t>
      </w:r>
    </w:p>
    <w:p>
      <w:pPr>
        <w:overflowPunct w:val="0"/>
        <w:adjustRightInd w:val="0"/>
        <w:ind w:firstLine="643" w:firstLineChars="200"/>
        <w:outlineLvl w:val="0"/>
        <w:rPr>
          <w:rFonts w:eastAsia="楷体_GB2312"/>
          <w:b/>
          <w:szCs w:val="32"/>
        </w:rPr>
      </w:pPr>
      <w:r>
        <w:rPr>
          <w:rFonts w:hint="eastAsia" w:eastAsia="楷体_GB2312"/>
          <w:b/>
          <w:szCs w:val="32"/>
        </w:rPr>
        <w:t>（三）教学资源</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课程资源网站(多媒体课件、图片库、试题库、视频、网络课程)虚拟技术实训室等，充分利用课程网站资源，使用现代化教学技术手段，生动、形象、直观地展示猪场各岗位的工作环境、工作流程、生产过程、操作方法等，使教学过程更加充满吸引力、从而大大提高教学效果。</w:t>
      </w:r>
    </w:p>
    <w:p>
      <w:pPr>
        <w:overflowPunct w:val="0"/>
        <w:adjustRightInd w:val="0"/>
        <w:ind w:firstLine="643" w:firstLineChars="200"/>
        <w:outlineLvl w:val="0"/>
        <w:rPr>
          <w:rFonts w:eastAsia="楷体_GB2312"/>
          <w:b/>
          <w:szCs w:val="32"/>
        </w:rPr>
      </w:pPr>
      <w:r>
        <w:rPr>
          <w:rFonts w:hint="eastAsia" w:eastAsia="楷体_GB2312"/>
          <w:b/>
          <w:szCs w:val="32"/>
        </w:rPr>
        <w:t>（四）教学方法</w:t>
      </w:r>
    </w:p>
    <w:p>
      <w:pPr>
        <w:pStyle w:val="17"/>
        <w:spacing w:line="360" w:lineRule="auto"/>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1.建议采取课内讲授为主，结合“任务驱动、项目导向”、“教学做”一体等并配合实验实训。</w:t>
      </w:r>
    </w:p>
    <w:p>
      <w:pPr>
        <w:overflowPunct w:val="0"/>
        <w:adjustRightInd w:val="0"/>
        <w:spacing w:line="360" w:lineRule="auto"/>
        <w:ind w:firstLine="640" w:firstLineChars="200"/>
        <w:outlineLvl w:val="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2.采用小组合作学习的方式，做好人员分工。教师示范与学生分组讨论、训练互动、学生提问与教师解惑、措导相结合，体现“做中学”、“做中教”的教学理念 。</w:t>
      </w:r>
    </w:p>
    <w:p>
      <w:pPr>
        <w:overflowPunct w:val="0"/>
        <w:adjustRightInd w:val="0"/>
        <w:spacing w:line="360" w:lineRule="auto"/>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3.学校成立由企业、学校负责人、企业技术专家和学校专业带头人组成的校企合作专业建设指导委员会，组建校企合作、工学结合、“产学一体”的运行管理机构，形成规范的规章制度和管理办法，建立校企合作、工学结合运行长效机制。通过深入企业调研、座谈，在专业设置、人才培养目标和培养方案设计方面吸纳企业专家合理的建议，激励教师积极参与企业产品的研发与生产，激励企业技术人员参与学校教学改革与专业建设，促进校企深度合作，增强办学活力，提高社会服务能力。通过校企合作，建立“工学融合，在企业中办学”的校企合作模式。根据现代畜牧业生产变化这一规律，结合中职教育规律，畜禽生产技术专业确定了“工学</w:t>
      </w:r>
      <w:r>
        <w:rPr>
          <w:rFonts w:hint="eastAsia" w:ascii="仿宋_GB2312" w:hAnsi="仿宋_GB2312" w:eastAsia="仿宋_GB2312" w:cs="仿宋_GB2312"/>
          <w:sz w:val="32"/>
          <w:szCs w:val="32"/>
        </w:rPr>
        <w:t>融合，在企业中办学”的校企合作模式，并建立实践性教学贯穿于人才培养全过程，生产性实习为主体，有半年以上顶岗实习的培养模型。</w:t>
      </w:r>
    </w:p>
    <w:p>
      <w:pPr>
        <w:overflowPunct w:val="0"/>
        <w:adjustRightInd w:val="0"/>
        <w:ind w:firstLine="643" w:firstLineChars="200"/>
        <w:outlineLvl w:val="0"/>
        <w:rPr>
          <w:rFonts w:eastAsia="楷体_GB2312"/>
          <w:b/>
          <w:szCs w:val="32"/>
        </w:rPr>
      </w:pPr>
      <w:r>
        <w:rPr>
          <w:rFonts w:hint="eastAsia" w:eastAsia="楷体_GB2312"/>
          <w:b/>
          <w:szCs w:val="32"/>
        </w:rPr>
        <w:t>（五）学习评价</w:t>
      </w:r>
    </w:p>
    <w:p>
      <w:pPr>
        <w:overflowPunct w:val="0"/>
        <w:adjustRightInd w:val="0"/>
        <w:ind w:firstLine="643" w:firstLineChars="200"/>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1.基本素养要求 </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品德素养:诚实守信、公平正直、吃苦耐劳、文明礼貌、勤俭自强、乐于助人。</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团队合作:具有良好的团队精神和合作意识，能与人和谐相处，团结协作。</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敬业精神:有很强的事业心和主人翁责任感，追求崇高的职业理想，对学习和工作态度认真踏实，恪尽职守、精益求精、具有奉献精神。</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组织协调:能积极参与组织各项社团活动、文体活动，有很强的组织管理和协调能力。</w:t>
      </w:r>
    </w:p>
    <w:p>
      <w:pPr>
        <w:overflowPunct w:val="0"/>
        <w:adjustRightInd w:val="0"/>
        <w:ind w:firstLine="643" w:firstLineChars="200"/>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2.文化知识和职业技能评价</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专业素养包括文化知识、专业基础、专业技能三个方面。具体要求如下：</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文化知识:文化基础好，知识面宽，开设的公共课学的扎实，信息处理能力强。</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专业基础:开设的专业领域的基础课程的理论知识和技能常识掌握到位，专业知识面开阔。</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专业技能:开设专业领域的专业核心课程的理论知识学的扎实，能运用理论知识指导实际操作，动手能力强、操作规范，与岗位要求实现对接。</w:t>
      </w:r>
    </w:p>
    <w:p>
      <w:pPr>
        <w:overflowPunct w:val="0"/>
        <w:adjustRightInd w:val="0"/>
        <w:ind w:firstLine="643" w:firstLineChars="200"/>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3.顶岗实习评价</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考核成绩参照实习单位鉴定以及学生个人的实习考勤、实习记录、实习报告、实习表现等进行综合评定，分为优秀、良好、一般、及格、不及格五个等级。成绩及格及以上者获得相应的顶岗实习学分。</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（1）优秀</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实习态度端正，遵守实习纪律，能很好的完成实习任务，达到实习课程标准中规定的全部要求，实习报告能对实习内容进行全面、系统的总结，并能运用学过的知识和技能解决工作中的实际问题，成绩优异。</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（2）良好</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实习态度端正，遵守实习纪律，能较好的完成实习任务，达到实习课程标准中规定的全部要求，实习报告能对实习内容进行比较全面、系统的总结，并能运用学过的知识和技能解决工作中的实际问题，成绩良好。</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(3)一般</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实习态度基本端正，能较好的遵守实习纪律，达到实习课程标准中规定的主要要求，习报告能对实习内容进行比较全面的总结。</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(4)及格</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实习态度基本端正，能较好的遵守实习纪律，基本完成实习任务。达到实习课程标准中规定的基本要求，能完成实习报告。但不够完整、条理。</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(5)不及格</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凡具备下列条件之一者，均为不及格:未达到实习课程标准规定的基本要求，实习报告不认真，或内容有明显错误;未参加实习的时间超过全部时间三分之一者;实习中有违纪行为，造成恶劣影响者。</w:t>
      </w:r>
    </w:p>
    <w:p>
      <w:pPr>
        <w:overflowPunct w:val="0"/>
        <w:adjustRightInd w:val="0"/>
        <w:ind w:firstLine="643" w:firstLineChars="200"/>
        <w:outlineLvl w:val="0"/>
        <w:rPr>
          <w:rFonts w:eastAsia="楷体_GB2312"/>
          <w:b/>
          <w:szCs w:val="32"/>
        </w:rPr>
      </w:pPr>
      <w:r>
        <w:rPr>
          <w:rFonts w:hint="eastAsia" w:eastAsia="楷体_GB2312"/>
          <w:b/>
          <w:szCs w:val="32"/>
        </w:rPr>
        <w:t>（六）质量管理</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按照学校评价要求，对教师课堂教学质量进行综合评价。</w:t>
      </w:r>
    </w:p>
    <w:p>
      <w:pPr>
        <w:overflowPunct w:val="0"/>
        <w:adjustRightInd w:val="0"/>
        <w:ind w:firstLine="643" w:firstLineChars="200"/>
        <w:jc w:val="center"/>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课堂教学教师工作状态评分细则（权重40%）</w:t>
      </w:r>
    </w:p>
    <w:p>
      <w:pPr>
        <w:overflowPunct w:val="0"/>
        <w:adjustRightInd w:val="0"/>
        <w:ind w:firstLine="643" w:firstLineChars="200"/>
        <w:jc w:val="center"/>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课堂教学教师工作状态评价表</w:t>
      </w:r>
    </w:p>
    <w:tbl>
      <w:tblPr>
        <w:tblStyle w:val="1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2569"/>
        <w:gridCol w:w="2835"/>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25" w:type="dxa"/>
            <w:vMerge w:val="restart"/>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评估项目</w:t>
            </w:r>
          </w:p>
        </w:tc>
        <w:tc>
          <w:tcPr>
            <w:tcW w:w="7835" w:type="dxa"/>
            <w:gridSpan w:val="3"/>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评估标准与等级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dxa"/>
            <w:vMerge w:val="continue"/>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p>
        </w:tc>
        <w:tc>
          <w:tcPr>
            <w:tcW w:w="2569"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A级</w:t>
            </w:r>
          </w:p>
        </w:tc>
        <w:tc>
          <w:tcPr>
            <w:tcW w:w="283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B级</w:t>
            </w:r>
          </w:p>
        </w:tc>
        <w:tc>
          <w:tcPr>
            <w:tcW w:w="2431"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12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仪表</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2569"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服装整齐，着正装</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（16-20分）</w:t>
            </w:r>
          </w:p>
        </w:tc>
        <w:tc>
          <w:tcPr>
            <w:tcW w:w="283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未正装，但服装整齐、得体</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（12-16分）</w:t>
            </w:r>
          </w:p>
        </w:tc>
        <w:tc>
          <w:tcPr>
            <w:tcW w:w="2431"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服装不整齐</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（&lt;12分）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2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精神状态</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2569"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精神集中，情绪饱满</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（16-20分）</w:t>
            </w:r>
          </w:p>
        </w:tc>
        <w:tc>
          <w:tcPr>
            <w:tcW w:w="283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精神不自然，比较紧张</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（12-16分）</w:t>
            </w:r>
          </w:p>
        </w:tc>
        <w:tc>
          <w:tcPr>
            <w:tcW w:w="2431"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无精打采，心不在焉</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（&lt;12分）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trPr>
        <w:tc>
          <w:tcPr>
            <w:tcW w:w="12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形体姿态</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2569"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始终保持良好站姿，没有多余的小动作，并能通过得体的肢体语言调动学生。</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（16-20分）</w:t>
            </w:r>
          </w:p>
        </w:tc>
        <w:tc>
          <w:tcPr>
            <w:tcW w:w="283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保持良好姿态，没有太多的小动作。</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（12-16分）</w:t>
            </w:r>
          </w:p>
        </w:tc>
        <w:tc>
          <w:tcPr>
            <w:tcW w:w="2431"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姿态不端正、不得体，有</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很多不良小动作。</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（&lt;12分）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trPr>
        <w:tc>
          <w:tcPr>
            <w:tcW w:w="12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语言表达</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2569"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吐字清晰，语速、音量适中并起伏变化，富有感染力。</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（16-20分）</w:t>
            </w:r>
          </w:p>
        </w:tc>
        <w:tc>
          <w:tcPr>
            <w:tcW w:w="283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吐字清晰，音量适中。</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（12-16分）</w:t>
            </w:r>
          </w:p>
        </w:tc>
        <w:tc>
          <w:tcPr>
            <w:tcW w:w="2431"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语音含糊、音量过高或过低，语速快或慢，学员听不清。 （&lt;12分）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2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教学开关</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2569"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开关运用得当，师生互动好。 （16-20分）</w:t>
            </w:r>
          </w:p>
        </w:tc>
        <w:tc>
          <w:tcPr>
            <w:tcW w:w="283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能够使用课堂开关，师生互动较好。 （12-16分）</w:t>
            </w:r>
          </w:p>
        </w:tc>
        <w:tc>
          <w:tcPr>
            <w:tcW w:w="2431"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开关运用欠合理，师生互动少 （&lt;12分）</w:t>
            </w:r>
          </w:p>
        </w:tc>
      </w:tr>
    </w:tbl>
    <w:p>
      <w:pPr>
        <w:overflowPunct w:val="0"/>
        <w:adjustRightInd w:val="0"/>
        <w:ind w:firstLine="643" w:firstLineChars="200"/>
        <w:jc w:val="center"/>
        <w:outlineLvl w:val="0"/>
        <w:rPr>
          <w:rFonts w:hint="eastAsia" w:ascii="仿宋_GB2312" w:hAnsi="仿宋_GB2312" w:eastAsia="仿宋_GB2312" w:cs="仿宋_GB2312"/>
          <w:b/>
          <w:bCs/>
          <w:sz w:val="32"/>
          <w:szCs w:val="32"/>
        </w:rPr>
      </w:pPr>
    </w:p>
    <w:p>
      <w:pPr>
        <w:overflowPunct w:val="0"/>
        <w:adjustRightInd w:val="0"/>
        <w:ind w:firstLine="643" w:firstLineChars="200"/>
        <w:jc w:val="center"/>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教师课堂教学评分细则（权重60%）</w:t>
      </w:r>
    </w:p>
    <w:p>
      <w:pPr>
        <w:overflowPunct w:val="0"/>
        <w:adjustRightInd w:val="0"/>
        <w:ind w:firstLine="643" w:firstLineChars="200"/>
        <w:jc w:val="center"/>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教师课堂教学评价表</w:t>
      </w:r>
    </w:p>
    <w:tbl>
      <w:tblPr>
        <w:tblStyle w:val="1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4879"/>
        <w:gridCol w:w="992"/>
        <w:gridCol w:w="992"/>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5" w:type="dxa"/>
            <w:vMerge w:val="restart"/>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评估项目</w:t>
            </w:r>
          </w:p>
        </w:tc>
        <w:tc>
          <w:tcPr>
            <w:tcW w:w="4879" w:type="dxa"/>
            <w:vMerge w:val="restart"/>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评估内容</w:t>
            </w:r>
          </w:p>
        </w:tc>
        <w:tc>
          <w:tcPr>
            <w:tcW w:w="2856" w:type="dxa"/>
            <w:gridSpan w:val="3"/>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评估等级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5" w:type="dxa"/>
            <w:vMerge w:val="continue"/>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p>
        </w:tc>
        <w:tc>
          <w:tcPr>
            <w:tcW w:w="4879" w:type="dxa"/>
            <w:vMerge w:val="continue"/>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A级</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B级</w:t>
            </w:r>
          </w:p>
        </w:tc>
        <w:tc>
          <w:tcPr>
            <w:tcW w:w="87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13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教学目的</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4879" w:type="dxa"/>
            <w:vAlign w:val="center"/>
          </w:tcPr>
          <w:p>
            <w:pPr>
              <w:keepNext w:val="0"/>
              <w:keepLines w:val="0"/>
              <w:pageBreakBefore w:val="0"/>
              <w:widowControl w:val="0"/>
              <w:kinsoku/>
              <w:wordWrap/>
              <w:topLinePunct w:val="0"/>
              <w:autoSpaceDE/>
              <w:autoSpaceDN/>
              <w:bidi w:val="0"/>
              <w:snapToGrid/>
              <w:spacing w:line="40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目标明确具体，符合课题标准和学生实际，目标体现学科性和专业化的统一，让学生了解目标，并对学生达到目标的过程有分析和认识</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16-20分</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10-15分</w:t>
            </w:r>
          </w:p>
        </w:tc>
        <w:tc>
          <w:tcPr>
            <w:tcW w:w="87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&lt;10分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13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教学方法</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4879" w:type="dxa"/>
            <w:vAlign w:val="center"/>
          </w:tcPr>
          <w:p>
            <w:pPr>
              <w:keepNext w:val="0"/>
              <w:keepLines w:val="0"/>
              <w:pageBreakBefore w:val="0"/>
              <w:widowControl w:val="0"/>
              <w:kinsoku/>
              <w:wordWrap/>
              <w:topLinePunct w:val="0"/>
              <w:autoSpaceDE/>
              <w:autoSpaceDN/>
              <w:bidi w:val="0"/>
              <w:snapToGrid/>
              <w:spacing w:line="40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与学方法的选用符合内容需要，符合学生认知规律:发挥师生双方的主动性和创造性，创设师生对话的氛围:重视面向全体，因材施教，注意学习方法指导和良好习惯的养成:恰当运用学校制定的职场导学教学模式，合理使用多媒体:课堂评价准确、多元化</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16-20分</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10-15分</w:t>
            </w:r>
          </w:p>
        </w:tc>
        <w:tc>
          <w:tcPr>
            <w:tcW w:w="87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&lt;10分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trPr>
        <w:tc>
          <w:tcPr>
            <w:tcW w:w="13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教学内容</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4879" w:type="dxa"/>
            <w:vAlign w:val="center"/>
          </w:tcPr>
          <w:p>
            <w:pPr>
              <w:keepNext w:val="0"/>
              <w:keepLines w:val="0"/>
              <w:pageBreakBefore w:val="0"/>
              <w:widowControl w:val="0"/>
              <w:kinsoku/>
              <w:wordWrap/>
              <w:topLinePunct w:val="0"/>
              <w:autoSpaceDE/>
              <w:autoSpaceDN/>
              <w:bidi w:val="0"/>
              <w:snapToGrid/>
              <w:spacing w:line="40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教学文件齐全，任务书、工作页设计合理:内容正确，无知识性、科学性错误:教学重点突出，难点处理得当:结合学生生活和社会实际，联系专业。适时适量拓展:内容符合学科特点，符合学生认知水平</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16-20分</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10-15分</w:t>
            </w:r>
          </w:p>
        </w:tc>
        <w:tc>
          <w:tcPr>
            <w:tcW w:w="87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&lt;10分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5" w:hRule="atLeast"/>
        </w:trPr>
        <w:tc>
          <w:tcPr>
            <w:tcW w:w="13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教学程序</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4879" w:type="dxa"/>
            <w:vAlign w:val="center"/>
          </w:tcPr>
          <w:p>
            <w:pPr>
              <w:keepNext w:val="0"/>
              <w:keepLines w:val="0"/>
              <w:pageBreakBefore w:val="0"/>
              <w:widowControl w:val="0"/>
              <w:kinsoku/>
              <w:wordWrap/>
              <w:topLinePunct w:val="0"/>
              <w:autoSpaceDE/>
              <w:autoSpaceDN/>
              <w:bidi w:val="0"/>
              <w:snapToGrid/>
              <w:spacing w:line="40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团队组建合理，教学环节按照职场导学各种课;型环节组织教学，过程安排合理，层次清楚，环节紧凑，活动转换自然、妥当:及时反馈教学信息，注意调整和控制教学过程:体现实践性和综合性，突出能力的培养。</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16-20分</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10-15分</w:t>
            </w:r>
          </w:p>
        </w:tc>
        <w:tc>
          <w:tcPr>
            <w:tcW w:w="87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&lt;10分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1325"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教学效果</w:t>
            </w:r>
          </w:p>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20分</w:t>
            </w:r>
          </w:p>
        </w:tc>
        <w:tc>
          <w:tcPr>
            <w:tcW w:w="4879" w:type="dxa"/>
            <w:vAlign w:val="center"/>
          </w:tcPr>
          <w:p>
            <w:pPr>
              <w:keepNext w:val="0"/>
              <w:keepLines w:val="0"/>
              <w:pageBreakBefore w:val="0"/>
              <w:widowControl w:val="0"/>
              <w:kinsoku/>
              <w:wordWrap/>
              <w:topLinePunct w:val="0"/>
              <w:autoSpaceDE/>
              <w:autoSpaceDN/>
              <w:bidi w:val="0"/>
              <w:snapToGrid/>
              <w:spacing w:line="40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课堂效果评价形式灵活，评价表设计合理:教学成效显著，目标达成度高:课堂气氛和谐，学生思维活跃，参与意识强，注意力集中。</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16-20分</w:t>
            </w:r>
          </w:p>
        </w:tc>
        <w:tc>
          <w:tcPr>
            <w:tcW w:w="99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10-15分</w:t>
            </w:r>
          </w:p>
        </w:tc>
        <w:tc>
          <w:tcPr>
            <w:tcW w:w="872" w:type="dxa"/>
            <w:vAlign w:val="center"/>
          </w:tcPr>
          <w:p>
            <w:pPr>
              <w:keepNext w:val="0"/>
              <w:keepLines w:val="0"/>
              <w:pageBreakBefore w:val="0"/>
              <w:widowControl w:val="0"/>
              <w:kinsoku/>
              <w:wordWrap/>
              <w:topLinePunct w:val="0"/>
              <w:autoSpaceDE/>
              <w:autoSpaceDN/>
              <w:bidi w:val="0"/>
              <w:snapToGrid/>
              <w:spacing w:line="40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&lt;10分</w:t>
            </w:r>
          </w:p>
        </w:tc>
      </w:tr>
    </w:tbl>
    <w:p>
      <w:pPr>
        <w:overflowPunct w:val="0"/>
        <w:adjustRightInd w:val="0"/>
        <w:ind w:firstLine="640" w:firstLineChars="200"/>
        <w:outlineLvl w:val="0"/>
        <w:rPr>
          <w:rFonts w:eastAsia="黑体"/>
          <w:szCs w:val="32"/>
        </w:rPr>
      </w:pPr>
      <w:r>
        <w:rPr>
          <w:rFonts w:hint="eastAsia" w:eastAsia="黑体"/>
          <w:szCs w:val="32"/>
        </w:rPr>
        <w:t>九、毕业要求</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1.在规定的学习时间段内，无留级、留校察看等不良记录，修满人才培养方案规定的学时学分，完成规定的教学活动。</w:t>
      </w:r>
    </w:p>
    <w:p>
      <w:pPr>
        <w:overflowPunct w:val="0"/>
        <w:adjustRightInd w:val="0"/>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2.具有人文社会科学素养、社会责任感，能够在实践中理解并遵守职业道德和规范，履行责任。</w:t>
      </w:r>
    </w:p>
    <w:p>
      <w:pPr>
        <w:overflowPunct w:val="0"/>
        <w:adjustRightInd w:val="0"/>
        <w:ind w:firstLine="640" w:firstLineChars="200"/>
        <w:outlineLvl w:val="0"/>
        <w:rPr>
          <w:rFonts w:ascii="仿宋" w:hAnsi="仿宋" w:eastAsia="仿宋"/>
          <w:sz w:val="32"/>
          <w:szCs w:val="32"/>
        </w:rPr>
      </w:pPr>
      <w:r>
        <w:rPr>
          <w:rFonts w:hint="eastAsia" w:ascii="仿宋_GB2312" w:hAnsi="仿宋_GB2312" w:eastAsia="仿宋_GB2312" w:cs="仿宋_GB2312"/>
          <w:sz w:val="32"/>
          <w:szCs w:val="32"/>
        </w:rPr>
        <w:t>3. 通过中职英语应用、中职计算机应用合格考试。</w:t>
      </w:r>
      <w:r>
        <w:rPr>
          <w:rFonts w:ascii="仿宋" w:hAnsi="仿宋" w:eastAsia="仿宋"/>
          <w:sz w:val="32"/>
          <w:szCs w:val="32"/>
        </w:rPr>
        <w:t> </w:t>
      </w:r>
    </w:p>
    <w:p>
      <w:pPr>
        <w:pStyle w:val="17"/>
        <w:spacing w:line="360" w:lineRule="auto"/>
        <w:ind w:firstLine="640" w:firstLineChars="200"/>
        <w:rPr>
          <w:rFonts w:ascii="仿宋" w:hAnsi="仿宋" w:eastAsia="仿宋" w:cstheme="minorEastAsia"/>
          <w:sz w:val="32"/>
          <w:szCs w:val="32"/>
        </w:rPr>
      </w:pPr>
    </w:p>
    <w:p>
      <w:pPr>
        <w:overflowPunct w:val="0"/>
        <w:adjustRightInd w:val="0"/>
        <w:ind w:firstLine="640" w:firstLineChars="200"/>
        <w:outlineLvl w:val="0"/>
        <w:rPr>
          <w:rFonts w:eastAsia="黑体"/>
          <w:szCs w:val="32"/>
        </w:rPr>
      </w:pPr>
      <w:r>
        <w:rPr>
          <w:rFonts w:hint="eastAsia" w:eastAsia="黑体"/>
          <w:szCs w:val="32"/>
        </w:rPr>
        <w:t>十、附录</w:t>
      </w:r>
    </w:p>
    <w:tbl>
      <w:tblPr>
        <w:tblStyle w:val="11"/>
        <w:tblpPr w:leftFromText="180" w:rightFromText="180" w:vertAnchor="text" w:horzAnchor="page" w:tblpXSpec="center" w:tblpY="615"/>
        <w:tblOverlap w:val="never"/>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637"/>
        <w:gridCol w:w="1807"/>
        <w:gridCol w:w="602"/>
        <w:gridCol w:w="426"/>
        <w:gridCol w:w="674"/>
        <w:gridCol w:w="758"/>
        <w:gridCol w:w="737"/>
        <w:gridCol w:w="599"/>
        <w:gridCol w:w="585"/>
        <w:gridCol w:w="555"/>
        <w:gridCol w:w="615"/>
        <w:gridCol w:w="612"/>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trPr>
        <w:tc>
          <w:tcPr>
            <w:tcW w:w="573" w:type="dxa"/>
            <w:vMerge w:val="restart"/>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序号</w:t>
            </w:r>
          </w:p>
        </w:tc>
        <w:tc>
          <w:tcPr>
            <w:tcW w:w="2444"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课程</w:t>
            </w:r>
          </w:p>
        </w:tc>
        <w:tc>
          <w:tcPr>
            <w:tcW w:w="1028"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按学期分配</w:t>
            </w:r>
          </w:p>
        </w:tc>
        <w:tc>
          <w:tcPr>
            <w:tcW w:w="2169" w:type="dxa"/>
            <w:gridSpan w:val="3"/>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教学时数</w:t>
            </w:r>
          </w:p>
        </w:tc>
        <w:tc>
          <w:tcPr>
            <w:tcW w:w="3533" w:type="dxa"/>
            <w:gridSpan w:val="6"/>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理论教学按学年及学期分配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trPr>
        <w:tc>
          <w:tcPr>
            <w:tcW w:w="573"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637" w:type="dxa"/>
            <w:vMerge w:val="restart"/>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分类</w:t>
            </w:r>
          </w:p>
        </w:tc>
        <w:tc>
          <w:tcPr>
            <w:tcW w:w="1807" w:type="dxa"/>
            <w:vMerge w:val="restart"/>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课程</w:t>
            </w:r>
          </w:p>
        </w:tc>
        <w:tc>
          <w:tcPr>
            <w:tcW w:w="602" w:type="dxa"/>
            <w:vMerge w:val="restart"/>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考试</w:t>
            </w:r>
          </w:p>
        </w:tc>
        <w:tc>
          <w:tcPr>
            <w:tcW w:w="426" w:type="dxa"/>
            <w:vMerge w:val="restart"/>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考查</w:t>
            </w:r>
          </w:p>
        </w:tc>
        <w:tc>
          <w:tcPr>
            <w:tcW w:w="674" w:type="dxa"/>
            <w:vMerge w:val="restart"/>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总学时</w:t>
            </w:r>
          </w:p>
        </w:tc>
        <w:tc>
          <w:tcPr>
            <w:tcW w:w="758" w:type="dxa"/>
            <w:vMerge w:val="restart"/>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理论教学</w:t>
            </w:r>
          </w:p>
        </w:tc>
        <w:tc>
          <w:tcPr>
            <w:tcW w:w="737" w:type="dxa"/>
            <w:vMerge w:val="restart"/>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实训教学</w:t>
            </w:r>
          </w:p>
        </w:tc>
        <w:tc>
          <w:tcPr>
            <w:tcW w:w="1184"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第一学年</w:t>
            </w:r>
          </w:p>
        </w:tc>
        <w:tc>
          <w:tcPr>
            <w:tcW w:w="1170"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第二学年</w:t>
            </w:r>
          </w:p>
        </w:tc>
        <w:tc>
          <w:tcPr>
            <w:tcW w:w="1179"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第三学年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trPr>
        <w:tc>
          <w:tcPr>
            <w:tcW w:w="573"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637"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1807"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602"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426"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674"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758"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737"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一</w:t>
            </w: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二</w:t>
            </w: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三</w:t>
            </w: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四</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五</w:t>
            </w: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w:t>
            </w:r>
          </w:p>
        </w:tc>
        <w:tc>
          <w:tcPr>
            <w:tcW w:w="637" w:type="dxa"/>
            <w:vMerge w:val="restart"/>
            <w:vAlign w:val="center"/>
          </w:tcPr>
          <w:p>
            <w:pPr>
              <w:widowControl/>
              <w:spacing w:line="360" w:lineRule="auto"/>
              <w:ind w:left="160" w:leftChars="5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公</w:t>
            </w:r>
            <w:r>
              <w:rPr>
                <w:rFonts w:hint="eastAsia" w:ascii="仿宋_GB2312" w:hAnsi="仿宋_GB2312" w:eastAsia="仿宋_GB2312" w:cs="仿宋_GB2312"/>
                <w:kern w:val="0"/>
                <w:sz w:val="24"/>
              </w:rPr>
              <w:br w:type="textWrapping"/>
            </w:r>
            <w:r>
              <w:rPr>
                <w:rFonts w:hint="eastAsia" w:ascii="仿宋_GB2312" w:hAnsi="仿宋_GB2312" w:eastAsia="仿宋_GB2312" w:cs="仿宋_GB2312"/>
                <w:kern w:val="0"/>
                <w:sz w:val="24"/>
              </w:rPr>
              <w:t>共</w:t>
            </w:r>
            <w:r>
              <w:rPr>
                <w:rFonts w:hint="eastAsia" w:ascii="仿宋_GB2312" w:hAnsi="仿宋_GB2312" w:eastAsia="仿宋_GB2312" w:cs="仿宋_GB2312"/>
                <w:kern w:val="0"/>
                <w:sz w:val="24"/>
              </w:rPr>
              <w:br w:type="textWrapping"/>
            </w:r>
            <w:r>
              <w:rPr>
                <w:rFonts w:hint="eastAsia" w:ascii="仿宋_GB2312" w:hAnsi="仿宋_GB2312" w:eastAsia="仿宋_GB2312" w:cs="仿宋_GB2312"/>
                <w:kern w:val="0"/>
                <w:sz w:val="24"/>
              </w:rPr>
              <w:t>基</w:t>
            </w:r>
            <w:r>
              <w:rPr>
                <w:rFonts w:hint="eastAsia" w:ascii="仿宋_GB2312" w:hAnsi="仿宋_GB2312" w:eastAsia="仿宋_GB2312" w:cs="仿宋_GB2312"/>
                <w:kern w:val="0"/>
                <w:sz w:val="24"/>
              </w:rPr>
              <w:br w:type="textWrapping"/>
            </w:r>
            <w:r>
              <w:rPr>
                <w:rFonts w:hint="eastAsia" w:ascii="仿宋_GB2312" w:hAnsi="仿宋_GB2312" w:eastAsia="仿宋_GB2312" w:cs="仿宋_GB2312"/>
                <w:kern w:val="0"/>
                <w:sz w:val="24"/>
              </w:rPr>
              <w:t>础</w:t>
            </w:r>
            <w:r>
              <w:rPr>
                <w:rFonts w:hint="eastAsia" w:ascii="仿宋_GB2312" w:hAnsi="仿宋_GB2312" w:eastAsia="仿宋_GB2312" w:cs="仿宋_GB2312"/>
                <w:kern w:val="0"/>
                <w:sz w:val="24"/>
              </w:rPr>
              <w:br w:type="textWrapping"/>
            </w:r>
            <w:r>
              <w:rPr>
                <w:rFonts w:hint="eastAsia" w:ascii="仿宋_GB2312" w:hAnsi="仿宋_GB2312" w:eastAsia="仿宋_GB2312" w:cs="仿宋_GB2312"/>
                <w:kern w:val="0"/>
                <w:sz w:val="24"/>
              </w:rPr>
              <w:t>课</w:t>
            </w:r>
          </w:p>
        </w:tc>
        <w:tc>
          <w:tcPr>
            <w:tcW w:w="1807" w:type="dxa"/>
            <w:shd w:val="clear" w:color="auto" w:fill="auto"/>
            <w:vAlign w:val="center"/>
          </w:tcPr>
          <w:p>
            <w:pPr>
              <w:widowControl/>
              <w:jc w:val="center"/>
              <w:rPr>
                <w:rFonts w:hint="eastAsia" w:ascii="仿宋_GB2312" w:hAnsi="仿宋_GB2312" w:eastAsia="仿宋_GB2312" w:cs="仿宋_GB2312"/>
                <w:b/>
                <w:bCs/>
                <w:kern w:val="0"/>
                <w:sz w:val="24"/>
              </w:rPr>
            </w:pPr>
            <w:r>
              <w:rPr>
                <w:rFonts w:hint="eastAsia" w:ascii="仿宋_GB2312" w:hAnsi="仿宋_GB2312" w:eastAsia="仿宋_GB2312" w:cs="仿宋_GB2312"/>
                <w:kern w:val="0"/>
                <w:sz w:val="24"/>
              </w:rPr>
              <w:t>中国特色社会主义</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85" w:type="dxa"/>
            <w:shd w:val="clear" w:color="auto" w:fill="auto"/>
            <w:vAlign w:val="center"/>
          </w:tcPr>
          <w:p>
            <w:pPr>
              <w:widowControl/>
              <w:jc w:val="center"/>
              <w:rPr>
                <w:rFonts w:hint="eastAsia" w:ascii="仿宋_GB2312" w:hAnsi="仿宋_GB2312" w:eastAsia="仿宋_GB2312" w:cs="仿宋_GB2312"/>
                <w:kern w:val="0"/>
                <w:sz w:val="24"/>
              </w:rPr>
            </w:pPr>
          </w:p>
        </w:tc>
        <w:tc>
          <w:tcPr>
            <w:tcW w:w="555" w:type="dxa"/>
            <w:shd w:val="clear" w:color="auto" w:fill="auto"/>
            <w:vAlign w:val="center"/>
          </w:tcPr>
          <w:p>
            <w:pPr>
              <w:widowControl/>
              <w:jc w:val="center"/>
              <w:rPr>
                <w:rFonts w:hint="eastAsia" w:ascii="仿宋_GB2312" w:hAnsi="仿宋_GB2312" w:eastAsia="仿宋_GB2312" w:cs="仿宋_GB2312"/>
                <w:kern w:val="0"/>
                <w:sz w:val="24"/>
              </w:rPr>
            </w:pPr>
          </w:p>
        </w:tc>
        <w:tc>
          <w:tcPr>
            <w:tcW w:w="615" w:type="dxa"/>
            <w:shd w:val="clear" w:color="auto" w:fill="auto"/>
            <w:vAlign w:val="center"/>
          </w:tcPr>
          <w:p>
            <w:pPr>
              <w:widowControl/>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b/>
                <w:bCs/>
                <w:kern w:val="0"/>
                <w:sz w:val="24"/>
              </w:rPr>
            </w:pPr>
            <w:r>
              <w:rPr>
                <w:rFonts w:hint="eastAsia" w:ascii="仿宋_GB2312" w:hAnsi="仿宋_GB2312" w:eastAsia="仿宋_GB2312" w:cs="仿宋_GB2312"/>
                <w:kern w:val="0"/>
                <w:sz w:val="24"/>
              </w:rPr>
              <w:t>心理健康与职业生涯</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p>
        </w:tc>
        <w:tc>
          <w:tcPr>
            <w:tcW w:w="58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55" w:type="dxa"/>
            <w:shd w:val="clear" w:color="auto" w:fill="auto"/>
            <w:vAlign w:val="center"/>
          </w:tcPr>
          <w:p>
            <w:pPr>
              <w:widowControl/>
              <w:jc w:val="center"/>
              <w:rPr>
                <w:rFonts w:hint="eastAsia" w:ascii="仿宋_GB2312" w:hAnsi="仿宋_GB2312" w:eastAsia="仿宋_GB2312" w:cs="仿宋_GB2312"/>
                <w:kern w:val="0"/>
                <w:sz w:val="24"/>
              </w:rPr>
            </w:pPr>
          </w:p>
        </w:tc>
        <w:tc>
          <w:tcPr>
            <w:tcW w:w="615" w:type="dxa"/>
            <w:shd w:val="clear" w:color="auto" w:fill="auto"/>
            <w:vAlign w:val="center"/>
          </w:tcPr>
          <w:p>
            <w:pPr>
              <w:widowControl/>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b/>
                <w:bCs/>
                <w:kern w:val="0"/>
                <w:sz w:val="24"/>
              </w:rPr>
            </w:pPr>
            <w:r>
              <w:rPr>
                <w:rFonts w:hint="eastAsia" w:ascii="仿宋_GB2312" w:hAnsi="仿宋_GB2312" w:eastAsia="仿宋_GB2312" w:cs="仿宋_GB2312"/>
                <w:kern w:val="0"/>
                <w:sz w:val="24"/>
              </w:rPr>
              <w:t>哲学与人生</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p>
        </w:tc>
        <w:tc>
          <w:tcPr>
            <w:tcW w:w="585" w:type="dxa"/>
            <w:shd w:val="clear" w:color="auto" w:fill="auto"/>
            <w:vAlign w:val="center"/>
          </w:tcPr>
          <w:p>
            <w:pPr>
              <w:widowControl/>
              <w:jc w:val="center"/>
              <w:rPr>
                <w:rFonts w:hint="eastAsia" w:ascii="仿宋_GB2312" w:hAnsi="仿宋_GB2312" w:eastAsia="仿宋_GB2312" w:cs="仿宋_GB2312"/>
                <w:kern w:val="0"/>
                <w:sz w:val="24"/>
              </w:rPr>
            </w:pPr>
          </w:p>
        </w:tc>
        <w:tc>
          <w:tcPr>
            <w:tcW w:w="55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5" w:type="dxa"/>
            <w:shd w:val="clear" w:color="auto" w:fill="auto"/>
            <w:vAlign w:val="center"/>
          </w:tcPr>
          <w:p>
            <w:pPr>
              <w:widowControl/>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4</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b/>
                <w:bCs/>
                <w:kern w:val="0"/>
                <w:sz w:val="24"/>
              </w:rPr>
            </w:pPr>
            <w:r>
              <w:rPr>
                <w:rFonts w:hint="eastAsia" w:ascii="仿宋_GB2312" w:hAnsi="仿宋_GB2312" w:eastAsia="仿宋_GB2312" w:cs="仿宋_GB2312"/>
                <w:kern w:val="0"/>
                <w:sz w:val="24"/>
              </w:rPr>
              <w:t>职业道德与法治</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p>
        </w:tc>
        <w:tc>
          <w:tcPr>
            <w:tcW w:w="585" w:type="dxa"/>
            <w:shd w:val="clear" w:color="auto" w:fill="auto"/>
            <w:vAlign w:val="center"/>
          </w:tcPr>
          <w:p>
            <w:pPr>
              <w:widowControl/>
              <w:jc w:val="center"/>
              <w:rPr>
                <w:rFonts w:hint="eastAsia" w:ascii="仿宋_GB2312" w:hAnsi="仿宋_GB2312" w:eastAsia="仿宋_GB2312" w:cs="仿宋_GB2312"/>
                <w:kern w:val="0"/>
                <w:sz w:val="24"/>
              </w:rPr>
            </w:pPr>
          </w:p>
        </w:tc>
        <w:tc>
          <w:tcPr>
            <w:tcW w:w="555" w:type="dxa"/>
            <w:shd w:val="clear" w:color="auto" w:fill="auto"/>
            <w:vAlign w:val="center"/>
          </w:tcPr>
          <w:p>
            <w:pPr>
              <w:widowControl/>
              <w:jc w:val="center"/>
              <w:rPr>
                <w:rFonts w:hint="eastAsia" w:ascii="仿宋_GB2312" w:hAnsi="仿宋_GB2312" w:eastAsia="仿宋_GB2312" w:cs="仿宋_GB2312"/>
                <w:kern w:val="0"/>
                <w:sz w:val="24"/>
              </w:rPr>
            </w:pPr>
          </w:p>
        </w:tc>
        <w:tc>
          <w:tcPr>
            <w:tcW w:w="61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b/>
                <w:bCs/>
                <w:kern w:val="0"/>
                <w:sz w:val="24"/>
              </w:rPr>
            </w:pPr>
            <w:r>
              <w:rPr>
                <w:rFonts w:hint="eastAsia" w:ascii="仿宋_GB2312" w:hAnsi="仿宋_GB2312" w:eastAsia="仿宋_GB2312" w:cs="仿宋_GB2312"/>
                <w:kern w:val="0"/>
                <w:sz w:val="24"/>
              </w:rPr>
              <w:t>语文</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234</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234</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58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55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54</w:t>
            </w:r>
          </w:p>
        </w:tc>
        <w:tc>
          <w:tcPr>
            <w:tcW w:w="61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b/>
                <w:bCs/>
                <w:kern w:val="0"/>
                <w:sz w:val="24"/>
              </w:rPr>
            </w:pPr>
            <w:r>
              <w:rPr>
                <w:rFonts w:hint="eastAsia" w:ascii="仿宋_GB2312" w:hAnsi="仿宋_GB2312" w:eastAsia="仿宋_GB2312" w:cs="仿宋_GB2312"/>
                <w:kern w:val="0"/>
                <w:sz w:val="24"/>
              </w:rPr>
              <w:t>数学</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180</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180</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54</w:t>
            </w:r>
          </w:p>
        </w:tc>
        <w:tc>
          <w:tcPr>
            <w:tcW w:w="58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54</w:t>
            </w:r>
          </w:p>
        </w:tc>
        <w:tc>
          <w:tcPr>
            <w:tcW w:w="55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英语</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180</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180</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54</w:t>
            </w:r>
          </w:p>
        </w:tc>
        <w:tc>
          <w:tcPr>
            <w:tcW w:w="58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54</w:t>
            </w:r>
          </w:p>
        </w:tc>
        <w:tc>
          <w:tcPr>
            <w:tcW w:w="55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8</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b/>
                <w:bCs/>
                <w:kern w:val="0"/>
                <w:sz w:val="24"/>
              </w:rPr>
            </w:pPr>
            <w:r>
              <w:rPr>
                <w:rFonts w:hint="eastAsia" w:ascii="仿宋_GB2312" w:hAnsi="仿宋_GB2312" w:eastAsia="仿宋_GB2312" w:cs="仿宋_GB2312"/>
                <w:kern w:val="0"/>
                <w:sz w:val="24"/>
              </w:rPr>
              <w:t>信息技术</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144</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599"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54</w:t>
            </w:r>
          </w:p>
        </w:tc>
        <w:tc>
          <w:tcPr>
            <w:tcW w:w="58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54</w:t>
            </w:r>
          </w:p>
        </w:tc>
        <w:tc>
          <w:tcPr>
            <w:tcW w:w="55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5" w:type="dxa"/>
            <w:shd w:val="clear" w:color="auto" w:fill="auto"/>
            <w:vAlign w:val="center"/>
          </w:tcPr>
          <w:p>
            <w:pPr>
              <w:widowControl/>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b/>
                <w:bCs/>
                <w:kern w:val="0"/>
                <w:sz w:val="24"/>
              </w:rPr>
            </w:pPr>
            <w:r>
              <w:rPr>
                <w:rFonts w:hint="eastAsia" w:ascii="仿宋_GB2312" w:hAnsi="仿宋_GB2312" w:eastAsia="仿宋_GB2312" w:cs="仿宋_GB2312"/>
                <w:kern w:val="0"/>
                <w:sz w:val="24"/>
              </w:rPr>
              <w:t>历史</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8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5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18</w:t>
            </w:r>
          </w:p>
        </w:tc>
        <w:tc>
          <w:tcPr>
            <w:tcW w:w="615" w:type="dxa"/>
            <w:shd w:val="clear" w:color="auto" w:fill="auto"/>
            <w:vAlign w:val="center"/>
          </w:tcPr>
          <w:p>
            <w:pPr>
              <w:widowControl/>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10</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b/>
                <w:bCs/>
                <w:kern w:val="0"/>
                <w:sz w:val="24"/>
              </w:rPr>
            </w:pPr>
            <w:r>
              <w:rPr>
                <w:rFonts w:hint="eastAsia" w:ascii="仿宋_GB2312" w:hAnsi="仿宋_GB2312" w:eastAsia="仿宋_GB2312" w:cs="仿宋_GB2312"/>
                <w:kern w:val="0"/>
                <w:sz w:val="24"/>
              </w:rPr>
              <w:t>体育与健康</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144</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p>
        </w:tc>
        <w:tc>
          <w:tcPr>
            <w:tcW w:w="737"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144</w:t>
            </w:r>
          </w:p>
        </w:tc>
        <w:tc>
          <w:tcPr>
            <w:tcW w:w="599"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85" w:type="dxa"/>
            <w:shd w:val="clear" w:color="auto" w:fill="auto"/>
            <w:vAlign w:val="center"/>
          </w:tcPr>
          <w:p>
            <w:pPr>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55" w:type="dxa"/>
            <w:shd w:val="clear" w:color="auto" w:fill="auto"/>
            <w:vAlign w:val="center"/>
          </w:tcPr>
          <w:p>
            <w:pPr>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5" w:type="dxa"/>
            <w:shd w:val="clear" w:color="auto" w:fill="auto"/>
            <w:vAlign w:val="center"/>
          </w:tcPr>
          <w:p>
            <w:pPr>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11</w:t>
            </w:r>
          </w:p>
        </w:tc>
        <w:tc>
          <w:tcPr>
            <w:tcW w:w="637" w:type="dxa"/>
            <w:vMerge w:val="continue"/>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公共艺术</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8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55" w:type="dxa"/>
            <w:shd w:val="clear" w:color="auto" w:fill="auto"/>
            <w:vAlign w:val="center"/>
          </w:tcPr>
          <w:p>
            <w:pPr>
              <w:widowControl/>
              <w:jc w:val="center"/>
              <w:rPr>
                <w:rFonts w:hint="eastAsia" w:ascii="仿宋_GB2312" w:hAnsi="仿宋_GB2312" w:eastAsia="仿宋_GB2312" w:cs="仿宋_GB2312"/>
                <w:kern w:val="0"/>
                <w:sz w:val="24"/>
              </w:rPr>
            </w:pPr>
          </w:p>
        </w:tc>
        <w:tc>
          <w:tcPr>
            <w:tcW w:w="615" w:type="dxa"/>
            <w:shd w:val="clear" w:color="auto" w:fill="auto"/>
            <w:vAlign w:val="center"/>
          </w:tcPr>
          <w:p>
            <w:pPr>
              <w:widowControl/>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12</w:t>
            </w:r>
          </w:p>
        </w:tc>
        <w:tc>
          <w:tcPr>
            <w:tcW w:w="637" w:type="dxa"/>
            <w:vAlign w:val="center"/>
          </w:tcPr>
          <w:p>
            <w:pPr>
              <w:widowControl/>
              <w:spacing w:line="360" w:lineRule="auto"/>
              <w:ind w:left="160" w:leftChars="50"/>
              <w:jc w:val="center"/>
              <w:rPr>
                <w:rFonts w:hint="eastAsia" w:ascii="仿宋_GB2312" w:hAnsi="仿宋_GB2312" w:eastAsia="仿宋_GB2312" w:cs="仿宋_GB2312"/>
                <w:kern w:val="0"/>
                <w:sz w:val="24"/>
              </w:rPr>
            </w:pPr>
          </w:p>
        </w:tc>
        <w:tc>
          <w:tcPr>
            <w:tcW w:w="1807"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化学</w:t>
            </w:r>
          </w:p>
        </w:tc>
        <w:tc>
          <w:tcPr>
            <w:tcW w:w="602"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758"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737" w:type="dxa"/>
            <w:shd w:val="clear" w:color="auto" w:fill="auto"/>
            <w:vAlign w:val="center"/>
          </w:tcPr>
          <w:p>
            <w:pPr>
              <w:widowControl/>
              <w:jc w:val="center"/>
              <w:rPr>
                <w:rFonts w:hint="eastAsia" w:ascii="仿宋_GB2312" w:hAnsi="仿宋_GB2312" w:eastAsia="仿宋_GB2312" w:cs="仿宋_GB2312"/>
                <w:kern w:val="0"/>
                <w:sz w:val="24"/>
              </w:rPr>
            </w:pPr>
          </w:p>
        </w:tc>
        <w:tc>
          <w:tcPr>
            <w:tcW w:w="599"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85" w:type="dxa"/>
            <w:shd w:val="clear" w:color="auto" w:fill="auto"/>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55" w:type="dxa"/>
            <w:shd w:val="clear" w:color="auto" w:fill="auto"/>
            <w:vAlign w:val="center"/>
          </w:tcPr>
          <w:p>
            <w:pPr>
              <w:widowControl/>
              <w:jc w:val="center"/>
              <w:rPr>
                <w:rFonts w:hint="eastAsia" w:ascii="仿宋_GB2312" w:hAnsi="仿宋_GB2312" w:eastAsia="仿宋_GB2312" w:cs="仿宋_GB2312"/>
                <w:kern w:val="0"/>
                <w:sz w:val="24"/>
              </w:rPr>
            </w:pPr>
          </w:p>
        </w:tc>
        <w:tc>
          <w:tcPr>
            <w:tcW w:w="615" w:type="dxa"/>
            <w:shd w:val="clear" w:color="auto" w:fill="auto"/>
            <w:vAlign w:val="center"/>
          </w:tcPr>
          <w:p>
            <w:pPr>
              <w:widowControl/>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619" w:type="dxa"/>
            <w:gridSpan w:val="4"/>
            <w:shd w:val="clear" w:color="auto" w:fill="auto"/>
            <w:vAlign w:val="center"/>
          </w:tcPr>
          <w:p>
            <w:pPr>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公共课课时小计</w:t>
            </w:r>
          </w:p>
        </w:tc>
        <w:tc>
          <w:tcPr>
            <w:tcW w:w="6128" w:type="dxa"/>
            <w:gridSpan w:val="10"/>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w:t>
            </w:r>
          </w:p>
        </w:tc>
        <w:tc>
          <w:tcPr>
            <w:tcW w:w="637" w:type="dxa"/>
            <w:vMerge w:val="restart"/>
            <w:vAlign w:val="center"/>
          </w:tcPr>
          <w:p>
            <w:pPr>
              <w:widowControl/>
              <w:spacing w:line="360" w:lineRule="auto"/>
              <w:ind w:left="160" w:leftChars="5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专业</w:t>
            </w:r>
          </w:p>
          <w:p>
            <w:pPr>
              <w:widowControl/>
              <w:spacing w:line="360" w:lineRule="auto"/>
              <w:ind w:left="160" w:leftChars="5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课</w:t>
            </w:r>
          </w:p>
          <w:p>
            <w:pPr>
              <w:widowControl/>
              <w:spacing w:line="360" w:lineRule="auto"/>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动物解剖生理</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54</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54</w:t>
            </w: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36</w:t>
            </w: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w:t>
            </w:r>
          </w:p>
        </w:tc>
        <w:tc>
          <w:tcPr>
            <w:tcW w:w="637" w:type="dxa"/>
            <w:vMerge w:val="continue"/>
            <w:vAlign w:val="center"/>
          </w:tcPr>
          <w:p>
            <w:pPr>
              <w:widowControl/>
              <w:spacing w:line="360" w:lineRule="auto"/>
              <w:ind w:left="120" w:hanging="120" w:hangingChars="50"/>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动物营养与饲料</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50</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22</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w:t>
            </w:r>
          </w:p>
        </w:tc>
        <w:tc>
          <w:tcPr>
            <w:tcW w:w="637" w:type="dxa"/>
            <w:vMerge w:val="continue"/>
            <w:vAlign w:val="center"/>
          </w:tcPr>
          <w:p>
            <w:pPr>
              <w:widowControl/>
              <w:spacing w:line="360" w:lineRule="auto"/>
              <w:ind w:left="120" w:hanging="120" w:hangingChars="50"/>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兽医基础</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45</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27</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4</w:t>
            </w:r>
          </w:p>
        </w:tc>
        <w:tc>
          <w:tcPr>
            <w:tcW w:w="637" w:type="dxa"/>
            <w:vMerge w:val="continue"/>
            <w:vAlign w:val="center"/>
          </w:tcPr>
          <w:p>
            <w:pPr>
              <w:widowControl/>
              <w:spacing w:line="360" w:lineRule="auto"/>
              <w:ind w:left="120" w:hanging="120" w:hangingChars="50"/>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畜禽繁殖与改良</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162</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72</w:t>
            </w: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w:t>
            </w:r>
          </w:p>
        </w:tc>
        <w:tc>
          <w:tcPr>
            <w:tcW w:w="637" w:type="dxa"/>
            <w:vMerge w:val="continue"/>
            <w:vAlign w:val="center"/>
          </w:tcPr>
          <w:p>
            <w:pPr>
              <w:widowControl/>
              <w:spacing w:line="360" w:lineRule="auto"/>
              <w:ind w:left="120" w:hanging="120" w:hangingChars="50"/>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兽药与药理基础</w:t>
            </w:r>
          </w:p>
        </w:tc>
        <w:tc>
          <w:tcPr>
            <w:tcW w:w="602" w:type="dxa"/>
            <w:shd w:val="clear" w:color="auto" w:fill="auto"/>
            <w:vAlign w:val="center"/>
          </w:tcPr>
          <w:p>
            <w:pPr>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80</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10</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w:t>
            </w:r>
          </w:p>
        </w:tc>
        <w:tc>
          <w:tcPr>
            <w:tcW w:w="637" w:type="dxa"/>
            <w:vMerge w:val="continue"/>
            <w:vAlign w:val="center"/>
          </w:tcPr>
          <w:p>
            <w:pPr>
              <w:widowControl/>
              <w:spacing w:line="360" w:lineRule="auto"/>
              <w:ind w:left="120" w:hanging="120" w:hangingChars="50"/>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禽病防治</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60</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30</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7</w:t>
            </w:r>
          </w:p>
        </w:tc>
        <w:tc>
          <w:tcPr>
            <w:tcW w:w="637"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鱼病防治</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60</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30</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8</w:t>
            </w:r>
          </w:p>
        </w:tc>
        <w:tc>
          <w:tcPr>
            <w:tcW w:w="637"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猪病防治</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60</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30</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w:t>
            </w:r>
          </w:p>
        </w:tc>
        <w:tc>
          <w:tcPr>
            <w:tcW w:w="637"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畜禽疫病防治</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108</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60</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48</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108</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10</w:t>
            </w:r>
          </w:p>
        </w:tc>
        <w:tc>
          <w:tcPr>
            <w:tcW w:w="637"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牛羊病防治</w:t>
            </w:r>
          </w:p>
        </w:tc>
        <w:tc>
          <w:tcPr>
            <w:tcW w:w="602" w:type="dxa"/>
            <w:shd w:val="clear" w:color="auto" w:fill="auto"/>
            <w:vAlign w:val="center"/>
          </w:tcPr>
          <w:p>
            <w:pPr>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108</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60</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48</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108</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11</w:t>
            </w:r>
          </w:p>
        </w:tc>
        <w:tc>
          <w:tcPr>
            <w:tcW w:w="637"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池塘养鱼</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60</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30</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90</w:t>
            </w: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12</w:t>
            </w:r>
          </w:p>
        </w:tc>
        <w:tc>
          <w:tcPr>
            <w:tcW w:w="637" w:type="dxa"/>
            <w:vMerge w:val="continue"/>
            <w:vAlign w:val="center"/>
          </w:tcPr>
          <w:p>
            <w:pPr>
              <w:widowControl/>
              <w:spacing w:line="360" w:lineRule="auto"/>
              <w:jc w:val="center"/>
              <w:rPr>
                <w:rFonts w:hint="eastAsia" w:ascii="仿宋_GB2312" w:hAnsi="仿宋_GB2312" w:eastAsia="仿宋_GB2312" w:cs="仿宋_GB2312"/>
                <w:kern w:val="0"/>
                <w:sz w:val="24"/>
              </w:rPr>
            </w:pPr>
          </w:p>
        </w:tc>
        <w:tc>
          <w:tcPr>
            <w:tcW w:w="180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畜禽生产</w:t>
            </w:r>
          </w:p>
        </w:tc>
        <w:tc>
          <w:tcPr>
            <w:tcW w:w="602" w:type="dxa"/>
            <w:shd w:val="clear" w:color="auto" w:fill="auto"/>
            <w:vAlign w:val="center"/>
          </w:tcPr>
          <w:p>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kern w:val="0"/>
                <w:sz w:val="24"/>
              </w:rPr>
              <w:t>√</w:t>
            </w: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126</w:t>
            </w:r>
          </w:p>
        </w:tc>
        <w:tc>
          <w:tcPr>
            <w:tcW w:w="758"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60</w:t>
            </w:r>
          </w:p>
        </w:tc>
        <w:tc>
          <w:tcPr>
            <w:tcW w:w="737" w:type="dxa"/>
            <w:shd w:val="clear" w:color="auto" w:fill="auto"/>
            <w:vAlign w:val="center"/>
          </w:tcPr>
          <w:p>
            <w:pPr>
              <w:pStyle w:val="17"/>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66</w:t>
            </w: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126</w:t>
            </w:r>
          </w:p>
        </w:tc>
        <w:tc>
          <w:tcPr>
            <w:tcW w:w="61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6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3619" w:type="dxa"/>
            <w:gridSpan w:val="4"/>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专业课课时小计</w:t>
            </w:r>
          </w:p>
        </w:tc>
        <w:tc>
          <w:tcPr>
            <w:tcW w:w="6128" w:type="dxa"/>
            <w:gridSpan w:val="10"/>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w:t>
            </w:r>
          </w:p>
        </w:tc>
        <w:tc>
          <w:tcPr>
            <w:tcW w:w="2444"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实践实训</w:t>
            </w:r>
          </w:p>
        </w:tc>
        <w:tc>
          <w:tcPr>
            <w:tcW w:w="60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758"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73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1179"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w:t>
            </w:r>
          </w:p>
        </w:tc>
        <w:tc>
          <w:tcPr>
            <w:tcW w:w="2444"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顶岗实习</w:t>
            </w:r>
          </w:p>
        </w:tc>
        <w:tc>
          <w:tcPr>
            <w:tcW w:w="602"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426"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74"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758"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737"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99"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8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55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615"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p>
        </w:tc>
        <w:tc>
          <w:tcPr>
            <w:tcW w:w="1179"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573" w:type="dxa"/>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合计</w:t>
            </w:r>
          </w:p>
        </w:tc>
        <w:tc>
          <w:tcPr>
            <w:tcW w:w="2444" w:type="dxa"/>
            <w:gridSpan w:val="2"/>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szCs w:val="21"/>
              </w:rPr>
              <w:t>总学时数</w:t>
            </w:r>
          </w:p>
        </w:tc>
        <w:tc>
          <w:tcPr>
            <w:tcW w:w="6730" w:type="dxa"/>
            <w:gridSpan w:val="11"/>
            <w:shd w:val="clear" w:color="auto" w:fill="auto"/>
            <w:vAlign w:val="center"/>
          </w:tcPr>
          <w:p>
            <w:pPr>
              <w:widowControl/>
              <w:spacing w:line="360" w:lineRule="auto"/>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3558</w:t>
            </w:r>
          </w:p>
        </w:tc>
      </w:tr>
    </w:tbl>
    <w:p>
      <w:pPr>
        <w:overflowPunct w:val="0"/>
        <w:adjustRightInd w:val="0"/>
        <w:ind w:firstLine="480" w:firstLineChars="200"/>
        <w:rPr>
          <w:rFonts w:ascii="宋体" w:hAnsi="宋体" w:eastAsia="宋体" w:cs="宋体"/>
          <w:sz w:val="24"/>
          <w:szCs w:val="24"/>
        </w:rPr>
      </w:pPr>
    </w:p>
    <w:p>
      <w:pPr>
        <w:overflowPunct w:val="0"/>
        <w:adjustRightInd w:val="0"/>
        <w:ind w:firstLine="480" w:firstLineChars="200"/>
        <w:rPr>
          <w:rFonts w:eastAsia="方正仿宋简体"/>
        </w:rPr>
      </w:pPr>
      <w:r>
        <w:rPr>
          <w:rFonts w:hint="eastAsia" w:ascii="宋体" w:hAnsi="宋体" w:eastAsia="宋体" w:cs="宋体"/>
          <w:sz w:val="24"/>
          <w:szCs w:val="24"/>
        </w:rPr>
        <w:t>说明：本表不含军训、入学教育、毕业教育及选修课教学安排。学校可根据实际情况灵活设置。</w:t>
      </w:r>
    </w:p>
    <w:p>
      <w:pPr>
        <w:pStyle w:val="17"/>
        <w:spacing w:line="360" w:lineRule="auto"/>
        <w:ind w:firstLine="600" w:firstLineChars="200"/>
        <w:rPr>
          <w:rFonts w:asciiTheme="minorEastAsia" w:hAnsiTheme="minorEastAsia" w:eastAsiaTheme="minorEastAsia" w:cstheme="minorEastAsia"/>
          <w:kern w:val="0"/>
          <w:sz w:val="30"/>
          <w:szCs w:val="30"/>
        </w:rPr>
      </w:pPr>
    </w:p>
    <w:p>
      <w:pPr>
        <w:pStyle w:val="17"/>
        <w:spacing w:line="360" w:lineRule="auto"/>
        <w:ind w:firstLine="600" w:firstLineChars="200"/>
        <w:rPr>
          <w:rFonts w:asciiTheme="minorEastAsia" w:hAnsiTheme="minorEastAsia" w:eastAsiaTheme="minorEastAsia" w:cstheme="minorEastAsia"/>
          <w:kern w:val="0"/>
          <w:sz w:val="30"/>
          <w:szCs w:val="30"/>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6C2"/>
    <w:rsid w:val="00001D92"/>
    <w:rsid w:val="00004A6D"/>
    <w:rsid w:val="000116CF"/>
    <w:rsid w:val="000228C8"/>
    <w:rsid w:val="00034018"/>
    <w:rsid w:val="000423F9"/>
    <w:rsid w:val="00043D50"/>
    <w:rsid w:val="00053589"/>
    <w:rsid w:val="00054919"/>
    <w:rsid w:val="00055BA6"/>
    <w:rsid w:val="00061D90"/>
    <w:rsid w:val="000676BD"/>
    <w:rsid w:val="000706F0"/>
    <w:rsid w:val="00071A1C"/>
    <w:rsid w:val="0009199B"/>
    <w:rsid w:val="000933B1"/>
    <w:rsid w:val="00095E2D"/>
    <w:rsid w:val="000A112B"/>
    <w:rsid w:val="000A3813"/>
    <w:rsid w:val="000B5254"/>
    <w:rsid w:val="000B690F"/>
    <w:rsid w:val="000C73BA"/>
    <w:rsid w:val="000D3324"/>
    <w:rsid w:val="000E0297"/>
    <w:rsid w:val="000F182F"/>
    <w:rsid w:val="00100651"/>
    <w:rsid w:val="00116103"/>
    <w:rsid w:val="001167AE"/>
    <w:rsid w:val="00130A58"/>
    <w:rsid w:val="001325CC"/>
    <w:rsid w:val="001358A0"/>
    <w:rsid w:val="00141F26"/>
    <w:rsid w:val="001531E9"/>
    <w:rsid w:val="00160646"/>
    <w:rsid w:val="0016313B"/>
    <w:rsid w:val="001637EF"/>
    <w:rsid w:val="00170278"/>
    <w:rsid w:val="00170F75"/>
    <w:rsid w:val="001869AC"/>
    <w:rsid w:val="001C21CD"/>
    <w:rsid w:val="001C6B6E"/>
    <w:rsid w:val="001D45A3"/>
    <w:rsid w:val="001D4602"/>
    <w:rsid w:val="001D64BD"/>
    <w:rsid w:val="001D67D9"/>
    <w:rsid w:val="001E01B3"/>
    <w:rsid w:val="001E4197"/>
    <w:rsid w:val="001F5095"/>
    <w:rsid w:val="00207362"/>
    <w:rsid w:val="00213D0C"/>
    <w:rsid w:val="0021760E"/>
    <w:rsid w:val="002200C4"/>
    <w:rsid w:val="0022789C"/>
    <w:rsid w:val="00235C9E"/>
    <w:rsid w:val="002460C2"/>
    <w:rsid w:val="00246557"/>
    <w:rsid w:val="0025108A"/>
    <w:rsid w:val="002558CA"/>
    <w:rsid w:val="00260FB8"/>
    <w:rsid w:val="002679D4"/>
    <w:rsid w:val="002756C2"/>
    <w:rsid w:val="00283834"/>
    <w:rsid w:val="0029637A"/>
    <w:rsid w:val="002A3082"/>
    <w:rsid w:val="002B1CE5"/>
    <w:rsid w:val="002B6E03"/>
    <w:rsid w:val="002C1FCA"/>
    <w:rsid w:val="002C6DEE"/>
    <w:rsid w:val="002D6095"/>
    <w:rsid w:val="002E5303"/>
    <w:rsid w:val="002F2E3D"/>
    <w:rsid w:val="003006DC"/>
    <w:rsid w:val="00302BD8"/>
    <w:rsid w:val="00307214"/>
    <w:rsid w:val="003207C0"/>
    <w:rsid w:val="00323353"/>
    <w:rsid w:val="00324FE4"/>
    <w:rsid w:val="003349C1"/>
    <w:rsid w:val="003350DF"/>
    <w:rsid w:val="00342483"/>
    <w:rsid w:val="003432AF"/>
    <w:rsid w:val="00345179"/>
    <w:rsid w:val="0034578F"/>
    <w:rsid w:val="003503B8"/>
    <w:rsid w:val="00353D93"/>
    <w:rsid w:val="00355359"/>
    <w:rsid w:val="003572DA"/>
    <w:rsid w:val="00363AF3"/>
    <w:rsid w:val="00364D61"/>
    <w:rsid w:val="00373269"/>
    <w:rsid w:val="00376923"/>
    <w:rsid w:val="00377F0E"/>
    <w:rsid w:val="00385725"/>
    <w:rsid w:val="00396979"/>
    <w:rsid w:val="003A4C91"/>
    <w:rsid w:val="003B1146"/>
    <w:rsid w:val="003B5E24"/>
    <w:rsid w:val="003C4FC8"/>
    <w:rsid w:val="003C738C"/>
    <w:rsid w:val="003D2CDB"/>
    <w:rsid w:val="003E0E03"/>
    <w:rsid w:val="003F6048"/>
    <w:rsid w:val="003F7420"/>
    <w:rsid w:val="003F7C61"/>
    <w:rsid w:val="004045BA"/>
    <w:rsid w:val="00406BE4"/>
    <w:rsid w:val="00412A39"/>
    <w:rsid w:val="00415F19"/>
    <w:rsid w:val="00442010"/>
    <w:rsid w:val="00443AA8"/>
    <w:rsid w:val="004537B0"/>
    <w:rsid w:val="004540A6"/>
    <w:rsid w:val="004543E2"/>
    <w:rsid w:val="00455861"/>
    <w:rsid w:val="0046270C"/>
    <w:rsid w:val="00465A8B"/>
    <w:rsid w:val="0048294E"/>
    <w:rsid w:val="00484EB3"/>
    <w:rsid w:val="00490966"/>
    <w:rsid w:val="004A5D11"/>
    <w:rsid w:val="004B139A"/>
    <w:rsid w:val="004B5261"/>
    <w:rsid w:val="004B7219"/>
    <w:rsid w:val="004C327D"/>
    <w:rsid w:val="004C5DA1"/>
    <w:rsid w:val="004C6AB8"/>
    <w:rsid w:val="004D6370"/>
    <w:rsid w:val="004E4F3F"/>
    <w:rsid w:val="004F1A68"/>
    <w:rsid w:val="004F2FF6"/>
    <w:rsid w:val="004F78E7"/>
    <w:rsid w:val="0051370A"/>
    <w:rsid w:val="005340E4"/>
    <w:rsid w:val="00541559"/>
    <w:rsid w:val="00546114"/>
    <w:rsid w:val="00546613"/>
    <w:rsid w:val="0054754D"/>
    <w:rsid w:val="00555F88"/>
    <w:rsid w:val="0056236E"/>
    <w:rsid w:val="00565850"/>
    <w:rsid w:val="00575144"/>
    <w:rsid w:val="00577383"/>
    <w:rsid w:val="00577681"/>
    <w:rsid w:val="00582587"/>
    <w:rsid w:val="005873A8"/>
    <w:rsid w:val="0058794A"/>
    <w:rsid w:val="0059548F"/>
    <w:rsid w:val="005A0C88"/>
    <w:rsid w:val="005B11D1"/>
    <w:rsid w:val="005C03E4"/>
    <w:rsid w:val="005D1998"/>
    <w:rsid w:val="005D2A82"/>
    <w:rsid w:val="005D6355"/>
    <w:rsid w:val="005E035B"/>
    <w:rsid w:val="005E08D0"/>
    <w:rsid w:val="005E3CE9"/>
    <w:rsid w:val="005E3D5E"/>
    <w:rsid w:val="005F529C"/>
    <w:rsid w:val="005F7DA0"/>
    <w:rsid w:val="00603134"/>
    <w:rsid w:val="006036A2"/>
    <w:rsid w:val="00610B28"/>
    <w:rsid w:val="006337AE"/>
    <w:rsid w:val="006362CB"/>
    <w:rsid w:val="00660B1F"/>
    <w:rsid w:val="00670D83"/>
    <w:rsid w:val="00683C53"/>
    <w:rsid w:val="006855E5"/>
    <w:rsid w:val="00696841"/>
    <w:rsid w:val="006A6D21"/>
    <w:rsid w:val="006A767B"/>
    <w:rsid w:val="006B0C10"/>
    <w:rsid w:val="006B37A7"/>
    <w:rsid w:val="006B54FE"/>
    <w:rsid w:val="006C7CD6"/>
    <w:rsid w:val="006D0A6B"/>
    <w:rsid w:val="006D28CB"/>
    <w:rsid w:val="006D2AF1"/>
    <w:rsid w:val="006E6D1C"/>
    <w:rsid w:val="007008B8"/>
    <w:rsid w:val="00723B9A"/>
    <w:rsid w:val="00730328"/>
    <w:rsid w:val="0073367C"/>
    <w:rsid w:val="00735125"/>
    <w:rsid w:val="00735B1C"/>
    <w:rsid w:val="007443AD"/>
    <w:rsid w:val="00760554"/>
    <w:rsid w:val="00775768"/>
    <w:rsid w:val="00783BF3"/>
    <w:rsid w:val="007844FE"/>
    <w:rsid w:val="00786E11"/>
    <w:rsid w:val="007A5027"/>
    <w:rsid w:val="007B1757"/>
    <w:rsid w:val="007B17D7"/>
    <w:rsid w:val="007B5190"/>
    <w:rsid w:val="007C271C"/>
    <w:rsid w:val="007C7B1B"/>
    <w:rsid w:val="007D0E77"/>
    <w:rsid w:val="007F4574"/>
    <w:rsid w:val="007F570B"/>
    <w:rsid w:val="007F798B"/>
    <w:rsid w:val="00801556"/>
    <w:rsid w:val="008028BE"/>
    <w:rsid w:val="008066B2"/>
    <w:rsid w:val="0081167E"/>
    <w:rsid w:val="0082783D"/>
    <w:rsid w:val="00827CF6"/>
    <w:rsid w:val="00845C0E"/>
    <w:rsid w:val="00847FB3"/>
    <w:rsid w:val="0085479F"/>
    <w:rsid w:val="00854C74"/>
    <w:rsid w:val="0087027D"/>
    <w:rsid w:val="008749C9"/>
    <w:rsid w:val="00882104"/>
    <w:rsid w:val="00884905"/>
    <w:rsid w:val="008A0329"/>
    <w:rsid w:val="008D7662"/>
    <w:rsid w:val="008E258B"/>
    <w:rsid w:val="008E51B6"/>
    <w:rsid w:val="008E79D6"/>
    <w:rsid w:val="008F5BF8"/>
    <w:rsid w:val="008F6A2C"/>
    <w:rsid w:val="0090446A"/>
    <w:rsid w:val="00912182"/>
    <w:rsid w:val="00923254"/>
    <w:rsid w:val="00931038"/>
    <w:rsid w:val="00933026"/>
    <w:rsid w:val="0094028B"/>
    <w:rsid w:val="00947DD6"/>
    <w:rsid w:val="009510C5"/>
    <w:rsid w:val="00956FE9"/>
    <w:rsid w:val="00957287"/>
    <w:rsid w:val="0096627E"/>
    <w:rsid w:val="0097419B"/>
    <w:rsid w:val="0098390A"/>
    <w:rsid w:val="00985D2D"/>
    <w:rsid w:val="00990357"/>
    <w:rsid w:val="009A3AC7"/>
    <w:rsid w:val="009A44C3"/>
    <w:rsid w:val="009A59ED"/>
    <w:rsid w:val="009A68AA"/>
    <w:rsid w:val="009B2891"/>
    <w:rsid w:val="009D52C8"/>
    <w:rsid w:val="009D7637"/>
    <w:rsid w:val="009D7838"/>
    <w:rsid w:val="009F0EEC"/>
    <w:rsid w:val="00A115EA"/>
    <w:rsid w:val="00A11FC5"/>
    <w:rsid w:val="00A14A9B"/>
    <w:rsid w:val="00A163CD"/>
    <w:rsid w:val="00A402C3"/>
    <w:rsid w:val="00A4053C"/>
    <w:rsid w:val="00A40A26"/>
    <w:rsid w:val="00A435C9"/>
    <w:rsid w:val="00A44AF6"/>
    <w:rsid w:val="00A54434"/>
    <w:rsid w:val="00A55861"/>
    <w:rsid w:val="00A76D71"/>
    <w:rsid w:val="00A776EA"/>
    <w:rsid w:val="00A8034F"/>
    <w:rsid w:val="00A82542"/>
    <w:rsid w:val="00A83953"/>
    <w:rsid w:val="00A91DFA"/>
    <w:rsid w:val="00A94557"/>
    <w:rsid w:val="00AA24B5"/>
    <w:rsid w:val="00AA265B"/>
    <w:rsid w:val="00AA3862"/>
    <w:rsid w:val="00AA7C5A"/>
    <w:rsid w:val="00AB0448"/>
    <w:rsid w:val="00AB3FBB"/>
    <w:rsid w:val="00AB5397"/>
    <w:rsid w:val="00AB5648"/>
    <w:rsid w:val="00AC07B0"/>
    <w:rsid w:val="00AC4FD5"/>
    <w:rsid w:val="00AD0098"/>
    <w:rsid w:val="00AD038C"/>
    <w:rsid w:val="00AD2ACB"/>
    <w:rsid w:val="00AE2228"/>
    <w:rsid w:val="00AE2930"/>
    <w:rsid w:val="00AF2E55"/>
    <w:rsid w:val="00B04DFA"/>
    <w:rsid w:val="00B1144E"/>
    <w:rsid w:val="00B12750"/>
    <w:rsid w:val="00B22F2F"/>
    <w:rsid w:val="00B30608"/>
    <w:rsid w:val="00B41ABF"/>
    <w:rsid w:val="00B44A15"/>
    <w:rsid w:val="00B53999"/>
    <w:rsid w:val="00B63C27"/>
    <w:rsid w:val="00B7067C"/>
    <w:rsid w:val="00B70906"/>
    <w:rsid w:val="00B91C4C"/>
    <w:rsid w:val="00B921EF"/>
    <w:rsid w:val="00BA2FD7"/>
    <w:rsid w:val="00BB34EF"/>
    <w:rsid w:val="00BC164D"/>
    <w:rsid w:val="00BC7224"/>
    <w:rsid w:val="00BD4AA2"/>
    <w:rsid w:val="00BD6823"/>
    <w:rsid w:val="00BD74FA"/>
    <w:rsid w:val="00BF05DB"/>
    <w:rsid w:val="00BF1A68"/>
    <w:rsid w:val="00BF773C"/>
    <w:rsid w:val="00C00DEA"/>
    <w:rsid w:val="00C148CD"/>
    <w:rsid w:val="00C21D04"/>
    <w:rsid w:val="00C25C4E"/>
    <w:rsid w:val="00C35D1B"/>
    <w:rsid w:val="00C40AB7"/>
    <w:rsid w:val="00C42835"/>
    <w:rsid w:val="00C42B76"/>
    <w:rsid w:val="00C50DBB"/>
    <w:rsid w:val="00C57808"/>
    <w:rsid w:val="00C6144A"/>
    <w:rsid w:val="00C62BD9"/>
    <w:rsid w:val="00C748AB"/>
    <w:rsid w:val="00C76AFE"/>
    <w:rsid w:val="00C82E5B"/>
    <w:rsid w:val="00C83C87"/>
    <w:rsid w:val="00C900CF"/>
    <w:rsid w:val="00C9586B"/>
    <w:rsid w:val="00C96959"/>
    <w:rsid w:val="00CA4460"/>
    <w:rsid w:val="00CB2B43"/>
    <w:rsid w:val="00CB3CFA"/>
    <w:rsid w:val="00CB6977"/>
    <w:rsid w:val="00CB6FD2"/>
    <w:rsid w:val="00CC0F7F"/>
    <w:rsid w:val="00CC15B1"/>
    <w:rsid w:val="00CD0994"/>
    <w:rsid w:val="00CD1358"/>
    <w:rsid w:val="00CE127A"/>
    <w:rsid w:val="00CE4391"/>
    <w:rsid w:val="00CE4710"/>
    <w:rsid w:val="00CE6161"/>
    <w:rsid w:val="00CF0417"/>
    <w:rsid w:val="00CF689F"/>
    <w:rsid w:val="00D136C5"/>
    <w:rsid w:val="00D257AC"/>
    <w:rsid w:val="00D42B56"/>
    <w:rsid w:val="00D46E30"/>
    <w:rsid w:val="00D47080"/>
    <w:rsid w:val="00D50455"/>
    <w:rsid w:val="00D562F7"/>
    <w:rsid w:val="00D60565"/>
    <w:rsid w:val="00D6793D"/>
    <w:rsid w:val="00D703EA"/>
    <w:rsid w:val="00D81541"/>
    <w:rsid w:val="00D92613"/>
    <w:rsid w:val="00D93ADE"/>
    <w:rsid w:val="00D96955"/>
    <w:rsid w:val="00DC34F5"/>
    <w:rsid w:val="00DD1938"/>
    <w:rsid w:val="00DE7AA4"/>
    <w:rsid w:val="00DF03C4"/>
    <w:rsid w:val="00DF49FD"/>
    <w:rsid w:val="00E02472"/>
    <w:rsid w:val="00E05A18"/>
    <w:rsid w:val="00E0709D"/>
    <w:rsid w:val="00E10B17"/>
    <w:rsid w:val="00E17B25"/>
    <w:rsid w:val="00E47837"/>
    <w:rsid w:val="00E512EA"/>
    <w:rsid w:val="00E602D9"/>
    <w:rsid w:val="00E66ED9"/>
    <w:rsid w:val="00E70B9E"/>
    <w:rsid w:val="00E7266B"/>
    <w:rsid w:val="00E76B5A"/>
    <w:rsid w:val="00E83D08"/>
    <w:rsid w:val="00E8654F"/>
    <w:rsid w:val="00E934AE"/>
    <w:rsid w:val="00E93E82"/>
    <w:rsid w:val="00E9517B"/>
    <w:rsid w:val="00EC149C"/>
    <w:rsid w:val="00EC1505"/>
    <w:rsid w:val="00EC1FD0"/>
    <w:rsid w:val="00EC4413"/>
    <w:rsid w:val="00EC6B15"/>
    <w:rsid w:val="00ED7D2C"/>
    <w:rsid w:val="00EF5479"/>
    <w:rsid w:val="00F00C1E"/>
    <w:rsid w:val="00F05125"/>
    <w:rsid w:val="00F059C6"/>
    <w:rsid w:val="00F1521A"/>
    <w:rsid w:val="00F208CC"/>
    <w:rsid w:val="00F24DCD"/>
    <w:rsid w:val="00F276D2"/>
    <w:rsid w:val="00F332DC"/>
    <w:rsid w:val="00F512D5"/>
    <w:rsid w:val="00F52409"/>
    <w:rsid w:val="00F52CF4"/>
    <w:rsid w:val="00F57499"/>
    <w:rsid w:val="00F61F32"/>
    <w:rsid w:val="00F64C90"/>
    <w:rsid w:val="00F67DD3"/>
    <w:rsid w:val="00F7584D"/>
    <w:rsid w:val="00F77F7E"/>
    <w:rsid w:val="00F8226A"/>
    <w:rsid w:val="00F8760F"/>
    <w:rsid w:val="00F9050A"/>
    <w:rsid w:val="00F96D21"/>
    <w:rsid w:val="00FA183F"/>
    <w:rsid w:val="00FA1E4A"/>
    <w:rsid w:val="00FA33CC"/>
    <w:rsid w:val="00FA33F1"/>
    <w:rsid w:val="00FB2A2F"/>
    <w:rsid w:val="00FB79A7"/>
    <w:rsid w:val="00FC20FA"/>
    <w:rsid w:val="00FC31F9"/>
    <w:rsid w:val="00FE471D"/>
    <w:rsid w:val="00FF4822"/>
    <w:rsid w:val="00FF77C2"/>
    <w:rsid w:val="04CC0859"/>
    <w:rsid w:val="055C4025"/>
    <w:rsid w:val="05B74BAD"/>
    <w:rsid w:val="063314A6"/>
    <w:rsid w:val="0AED3EFB"/>
    <w:rsid w:val="0EC47952"/>
    <w:rsid w:val="1533528F"/>
    <w:rsid w:val="190C56B9"/>
    <w:rsid w:val="1AEF37A0"/>
    <w:rsid w:val="22E45875"/>
    <w:rsid w:val="292E0200"/>
    <w:rsid w:val="2F377D2D"/>
    <w:rsid w:val="3DA83E5F"/>
    <w:rsid w:val="48577350"/>
    <w:rsid w:val="4A982C94"/>
    <w:rsid w:val="5114125E"/>
    <w:rsid w:val="520F0DD5"/>
    <w:rsid w:val="57A12724"/>
    <w:rsid w:val="58603967"/>
    <w:rsid w:val="5B9629A5"/>
    <w:rsid w:val="60591106"/>
    <w:rsid w:val="609B45FE"/>
    <w:rsid w:val="63B3363F"/>
    <w:rsid w:val="696838D8"/>
    <w:rsid w:val="6EDA276E"/>
    <w:rsid w:val="7213551C"/>
    <w:rsid w:val="72BA4DCB"/>
    <w:rsid w:val="7B084FBC"/>
    <w:rsid w:val="7BAE5CE2"/>
    <w:rsid w:val="7C8C7BC7"/>
    <w:rsid w:val="7D490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qFormat="1" w:uiPriority="99" w:semiHidden="0"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link w:val="6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64"/>
    <w:qFormat/>
    <w:uiPriority w:val="0"/>
    <w:pPr>
      <w:keepNext/>
      <w:keepLines/>
      <w:ind w:firstLine="200" w:firstLineChars="200"/>
      <w:outlineLvl w:val="1"/>
    </w:pPr>
    <w:rPr>
      <w:rFonts w:ascii="Arial" w:hAnsi="Arial" w:eastAsia="黑体"/>
      <w:b/>
      <w:bCs/>
      <w:sz w:val="28"/>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70"/>
    <w:semiHidden/>
    <w:unhideWhenUsed/>
    <w:qFormat/>
    <w:uiPriority w:val="99"/>
    <w:pPr>
      <w:spacing w:after="120"/>
      <w:ind w:left="420" w:leftChars="200"/>
    </w:pPr>
  </w:style>
  <w:style w:type="paragraph" w:styleId="5">
    <w:name w:val="Body Text Indent 2"/>
    <w:basedOn w:val="1"/>
    <w:link w:val="67"/>
    <w:semiHidden/>
    <w:unhideWhenUsed/>
    <w:qFormat/>
    <w:uiPriority w:val="99"/>
    <w:pPr>
      <w:spacing w:after="120" w:line="480" w:lineRule="auto"/>
      <w:ind w:left="420" w:leftChars="200"/>
    </w:pPr>
  </w:style>
  <w:style w:type="paragraph" w:styleId="6">
    <w:name w:val="Balloon Text"/>
    <w:basedOn w:val="1"/>
    <w:link w:val="71"/>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6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66"/>
    <w:unhideWhenUsed/>
    <w:qFormat/>
    <w:uiPriority w:val="99"/>
    <w:pPr>
      <w:spacing w:after="120"/>
      <w:ind w:left="420" w:leftChars="200"/>
    </w:pPr>
    <w:rPr>
      <w:rFonts w:ascii="Calibri" w:hAnsi="Calibri" w:eastAsia="宋体"/>
      <w:sz w:val="16"/>
      <w:szCs w:val="16"/>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FollowedHyperlink"/>
    <w:basedOn w:val="13"/>
    <w:semiHidden/>
    <w:unhideWhenUsed/>
    <w:qFormat/>
    <w:uiPriority w:val="99"/>
    <w:rPr>
      <w:color w:val="800080"/>
      <w:u w:val="none"/>
    </w:rPr>
  </w:style>
  <w:style w:type="character" w:styleId="15">
    <w:name w:val="Hyperlink"/>
    <w:basedOn w:val="13"/>
    <w:semiHidden/>
    <w:unhideWhenUsed/>
    <w:qFormat/>
    <w:uiPriority w:val="99"/>
    <w:rPr>
      <w:color w:val="0000FF"/>
      <w:u w:val="none"/>
    </w:rPr>
  </w:style>
  <w:style w:type="paragraph" w:customStyle="1" w:styleId="16">
    <w:name w:val="中等深浅网格 1 - 着色 21"/>
    <w:basedOn w:val="1"/>
    <w:qFormat/>
    <w:uiPriority w:val="0"/>
    <w:pPr>
      <w:spacing w:line="360" w:lineRule="auto"/>
      <w:ind w:firstLine="420" w:firstLineChars="200"/>
    </w:pPr>
    <w:rPr>
      <w:rFonts w:ascii="Calibri" w:hAnsi="Calibri" w:eastAsia="宋体"/>
      <w:sz w:val="21"/>
    </w:rPr>
  </w:style>
  <w:style w:type="paragraph" w:styleId="17">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18">
    <w:name w:val="页脚 Char"/>
    <w:basedOn w:val="13"/>
    <w:link w:val="7"/>
    <w:qFormat/>
    <w:uiPriority w:val="99"/>
    <w:rPr>
      <w:rFonts w:ascii="Times New Roman" w:hAnsi="Times New Roman" w:eastAsia="仿宋_GB2312"/>
      <w:kern w:val="2"/>
      <w:sz w:val="18"/>
      <w:szCs w:val="18"/>
    </w:rPr>
  </w:style>
  <w:style w:type="paragraph" w:customStyle="1" w:styleId="19">
    <w:name w:val="style1"/>
    <w:basedOn w:val="1"/>
    <w:qFormat/>
    <w:uiPriority w:val="0"/>
    <w:pPr>
      <w:widowControl/>
      <w:spacing w:before="100" w:beforeAutospacing="1" w:after="100" w:afterAutospacing="1"/>
      <w:jc w:val="left"/>
    </w:pPr>
    <w:rPr>
      <w:rFonts w:ascii="宋体" w:hAnsi="宋体" w:eastAsia="宋体" w:cs="宋体"/>
      <w:b/>
      <w:bCs/>
      <w:color w:val="0157A0"/>
      <w:kern w:val="0"/>
      <w:sz w:val="18"/>
      <w:szCs w:val="18"/>
    </w:rPr>
  </w:style>
  <w:style w:type="paragraph" w:customStyle="1" w:styleId="20">
    <w:name w:val="style2"/>
    <w:basedOn w:val="1"/>
    <w:qFormat/>
    <w:uiPriority w:val="0"/>
    <w:pPr>
      <w:widowControl/>
      <w:spacing w:before="100" w:beforeAutospacing="1" w:after="100" w:afterAutospacing="1"/>
      <w:jc w:val="left"/>
    </w:pPr>
    <w:rPr>
      <w:rFonts w:ascii="宋体" w:hAnsi="宋体" w:eastAsia="宋体" w:cs="宋体"/>
      <w:b/>
      <w:bCs/>
      <w:color w:val="CC4446"/>
      <w:kern w:val="0"/>
      <w:sz w:val="18"/>
      <w:szCs w:val="18"/>
    </w:rPr>
  </w:style>
  <w:style w:type="paragraph" w:customStyle="1" w:styleId="21">
    <w:name w:val="style3"/>
    <w:basedOn w:val="1"/>
    <w:qFormat/>
    <w:uiPriority w:val="0"/>
    <w:pPr>
      <w:widowControl/>
      <w:spacing w:before="100" w:beforeAutospacing="1" w:after="100" w:afterAutospacing="1"/>
      <w:jc w:val="left"/>
    </w:pPr>
    <w:rPr>
      <w:rFonts w:ascii="宋体" w:hAnsi="宋体" w:eastAsia="宋体" w:cs="宋体"/>
      <w:color w:val="606060"/>
      <w:kern w:val="0"/>
      <w:sz w:val="18"/>
      <w:szCs w:val="18"/>
    </w:rPr>
  </w:style>
  <w:style w:type="paragraph" w:customStyle="1" w:styleId="22">
    <w:name w:val="erjifontover51621"/>
    <w:basedOn w:val="1"/>
    <w:qFormat/>
    <w:uiPriority w:val="0"/>
    <w:pPr>
      <w:widowControl/>
      <w:spacing w:before="100" w:beforeAutospacing="1" w:after="100" w:afterAutospacing="1" w:line="384" w:lineRule="auto"/>
      <w:jc w:val="left"/>
    </w:pPr>
    <w:rPr>
      <w:rFonts w:ascii="宋体" w:hAnsi="宋体" w:eastAsia="宋体" w:cs="宋体"/>
      <w:color w:val="CC0000"/>
      <w:kern w:val="0"/>
      <w:sz w:val="18"/>
      <w:szCs w:val="18"/>
    </w:rPr>
  </w:style>
  <w:style w:type="paragraph" w:customStyle="1" w:styleId="23">
    <w:name w:val="leaderfont51621"/>
    <w:basedOn w:val="1"/>
    <w:qFormat/>
    <w:uiPriority w:val="0"/>
    <w:pPr>
      <w:widowControl/>
      <w:spacing w:before="100" w:beforeAutospacing="1" w:after="100" w:afterAutospacing="1"/>
      <w:jc w:val="left"/>
    </w:pPr>
    <w:rPr>
      <w:rFonts w:ascii="宋体" w:hAnsi="宋体" w:eastAsia="宋体" w:cs="宋体"/>
      <w:color w:val="222222"/>
      <w:kern w:val="0"/>
      <w:sz w:val="16"/>
      <w:szCs w:val="16"/>
    </w:rPr>
  </w:style>
  <w:style w:type="paragraph" w:customStyle="1" w:styleId="24">
    <w:name w:val="erjibackground51621"/>
    <w:basedOn w:val="1"/>
    <w:qFormat/>
    <w:uiPriority w:val="0"/>
    <w:pPr>
      <w:widowControl/>
      <w:pBdr>
        <w:bottom w:val="single" w:color="E2EBF2" w:sz="6" w:space="0"/>
      </w:pBdr>
      <w:shd w:val="clear" w:color="auto" w:fill="005195"/>
      <w:spacing w:before="100" w:beforeAutospacing="1" w:after="100" w:afterAutospacing="1"/>
      <w:jc w:val="left"/>
    </w:pPr>
    <w:rPr>
      <w:rFonts w:ascii="宋体" w:hAnsi="宋体" w:eastAsia="宋体" w:cs="宋体"/>
      <w:kern w:val="0"/>
      <w:sz w:val="24"/>
      <w:szCs w:val="24"/>
    </w:rPr>
  </w:style>
  <w:style w:type="paragraph" w:customStyle="1" w:styleId="25">
    <w:name w:val="currentfontstyle51621"/>
    <w:basedOn w:val="1"/>
    <w:qFormat/>
    <w:uiPriority w:val="0"/>
    <w:pPr>
      <w:widowControl/>
      <w:spacing w:before="100" w:beforeAutospacing="1" w:after="100" w:afterAutospacing="1"/>
      <w:jc w:val="left"/>
    </w:pPr>
    <w:rPr>
      <w:rFonts w:ascii="宋体" w:hAnsi="宋体" w:eastAsia="宋体" w:cs="宋体"/>
      <w:b/>
      <w:bCs/>
      <w:color w:val="CC0000"/>
      <w:kern w:val="0"/>
      <w:sz w:val="20"/>
      <w:szCs w:val="20"/>
    </w:rPr>
  </w:style>
  <w:style w:type="paragraph" w:customStyle="1" w:styleId="26">
    <w:name w:val="fontstyle51621"/>
    <w:basedOn w:val="1"/>
    <w:qFormat/>
    <w:uiPriority w:val="0"/>
    <w:pPr>
      <w:widowControl/>
      <w:spacing w:before="100" w:beforeAutospacing="1" w:after="100" w:afterAutospacing="1"/>
      <w:jc w:val="left"/>
    </w:pPr>
    <w:rPr>
      <w:rFonts w:ascii="宋体" w:hAnsi="宋体" w:eastAsia="宋体" w:cs="宋体"/>
      <w:b/>
      <w:bCs/>
      <w:color w:val="FFFFFF"/>
      <w:kern w:val="0"/>
      <w:sz w:val="22"/>
    </w:rPr>
  </w:style>
  <w:style w:type="paragraph" w:customStyle="1" w:styleId="27">
    <w:name w:val="yijifontover51621"/>
    <w:basedOn w:val="1"/>
    <w:qFormat/>
    <w:uiPriority w:val="0"/>
    <w:pPr>
      <w:widowControl/>
      <w:spacing w:before="100" w:beforeAutospacing="1" w:after="100" w:afterAutospacing="1"/>
      <w:jc w:val="left"/>
    </w:pPr>
    <w:rPr>
      <w:rFonts w:ascii="宋体" w:hAnsi="宋体" w:eastAsia="宋体" w:cs="宋体"/>
      <w:b/>
      <w:bCs/>
      <w:color w:val="CC0000"/>
      <w:kern w:val="0"/>
      <w:sz w:val="22"/>
    </w:rPr>
  </w:style>
  <w:style w:type="paragraph" w:customStyle="1" w:styleId="28">
    <w:name w:val="erjibackgroundover51621"/>
    <w:basedOn w:val="1"/>
    <w:qFormat/>
    <w:uiPriority w:val="0"/>
    <w:pPr>
      <w:widowControl/>
      <w:pBdr>
        <w:bottom w:val="single" w:color="E2EBF2" w:sz="6" w:space="0"/>
      </w:pBdr>
      <w:shd w:val="clear" w:color="auto" w:fill="1A89DB"/>
      <w:spacing w:before="100" w:beforeAutospacing="1" w:after="100" w:afterAutospacing="1"/>
      <w:jc w:val="left"/>
    </w:pPr>
    <w:rPr>
      <w:rFonts w:ascii="宋体" w:hAnsi="宋体" w:eastAsia="宋体" w:cs="宋体"/>
      <w:kern w:val="0"/>
      <w:sz w:val="24"/>
      <w:szCs w:val="24"/>
    </w:rPr>
  </w:style>
  <w:style w:type="paragraph" w:customStyle="1" w:styleId="29">
    <w:name w:val="ejfontstyle51621"/>
    <w:basedOn w:val="1"/>
    <w:qFormat/>
    <w:uiPriority w:val="0"/>
    <w:pPr>
      <w:widowControl/>
      <w:spacing w:before="100" w:beforeAutospacing="1" w:after="100" w:afterAutospacing="1" w:line="384" w:lineRule="auto"/>
      <w:jc w:val="left"/>
    </w:pPr>
    <w:rPr>
      <w:rFonts w:ascii="宋体" w:hAnsi="宋体" w:eastAsia="宋体" w:cs="宋体"/>
      <w:color w:val="FFFFFF"/>
      <w:kern w:val="0"/>
      <w:sz w:val="18"/>
      <w:szCs w:val="18"/>
    </w:rPr>
  </w:style>
  <w:style w:type="paragraph" w:customStyle="1" w:styleId="30">
    <w:name w:val="windowstyle51631"/>
    <w:basedOn w:val="1"/>
    <w:qFormat/>
    <w:uiPriority w:val="0"/>
    <w:pPr>
      <w:widowControl/>
      <w:spacing w:before="100" w:beforeAutospacing="1" w:after="100" w:afterAutospacing="1"/>
      <w:jc w:val="left"/>
    </w:pPr>
    <w:rPr>
      <w:rFonts w:ascii="宋体" w:hAnsi="宋体" w:eastAsia="宋体" w:cs="宋体"/>
      <w:b/>
      <w:bCs/>
      <w:color w:val="0157A0"/>
      <w:kern w:val="0"/>
      <w:sz w:val="20"/>
      <w:szCs w:val="20"/>
    </w:rPr>
  </w:style>
  <w:style w:type="paragraph" w:customStyle="1" w:styleId="31">
    <w:name w:val="erjifontover51632"/>
    <w:basedOn w:val="1"/>
    <w:qFormat/>
    <w:uiPriority w:val="0"/>
    <w:pPr>
      <w:widowControl/>
      <w:spacing w:before="100" w:beforeAutospacing="1" w:after="100" w:afterAutospacing="1" w:line="384" w:lineRule="auto"/>
      <w:jc w:val="left"/>
    </w:pPr>
    <w:rPr>
      <w:rFonts w:ascii="宋体" w:hAnsi="宋体" w:eastAsia="宋体" w:cs="宋体"/>
      <w:color w:val="CC0000"/>
      <w:kern w:val="0"/>
      <w:sz w:val="18"/>
      <w:szCs w:val="18"/>
    </w:rPr>
  </w:style>
  <w:style w:type="paragraph" w:customStyle="1" w:styleId="32">
    <w:name w:val="leaderfont51632"/>
    <w:basedOn w:val="1"/>
    <w:qFormat/>
    <w:uiPriority w:val="0"/>
    <w:pPr>
      <w:widowControl/>
      <w:spacing w:before="100" w:beforeAutospacing="1" w:after="100" w:afterAutospacing="1"/>
      <w:jc w:val="left"/>
    </w:pPr>
    <w:rPr>
      <w:rFonts w:ascii="宋体" w:hAnsi="宋体" w:eastAsia="宋体" w:cs="宋体"/>
      <w:color w:val="222222"/>
      <w:kern w:val="0"/>
      <w:sz w:val="18"/>
      <w:szCs w:val="18"/>
    </w:rPr>
  </w:style>
  <w:style w:type="paragraph" w:customStyle="1" w:styleId="33">
    <w:name w:val="yijibackground5163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
    <w:name w:val="erjibackground51632"/>
    <w:basedOn w:val="1"/>
    <w:qFormat/>
    <w:uiPriority w:val="0"/>
    <w:pPr>
      <w:widowControl/>
      <w:shd w:val="clear" w:color="auto" w:fill="EFF8FE"/>
      <w:spacing w:before="100" w:beforeAutospacing="1" w:after="100" w:afterAutospacing="1"/>
      <w:jc w:val="left"/>
    </w:pPr>
    <w:rPr>
      <w:rFonts w:ascii="宋体" w:hAnsi="宋体" w:eastAsia="宋体" w:cs="宋体"/>
      <w:kern w:val="0"/>
      <w:sz w:val="24"/>
      <w:szCs w:val="24"/>
    </w:rPr>
  </w:style>
  <w:style w:type="paragraph" w:customStyle="1" w:styleId="35">
    <w:name w:val="currentfontstyle51632"/>
    <w:basedOn w:val="1"/>
    <w:qFormat/>
    <w:uiPriority w:val="0"/>
    <w:pPr>
      <w:widowControl/>
      <w:spacing w:before="100" w:beforeAutospacing="1" w:after="100" w:afterAutospacing="1"/>
      <w:jc w:val="left"/>
    </w:pPr>
    <w:rPr>
      <w:rFonts w:ascii="宋体" w:hAnsi="宋体" w:eastAsia="宋体" w:cs="宋体"/>
      <w:b/>
      <w:bCs/>
      <w:color w:val="CC0000"/>
      <w:kern w:val="0"/>
      <w:sz w:val="20"/>
      <w:szCs w:val="20"/>
    </w:rPr>
  </w:style>
  <w:style w:type="paragraph" w:customStyle="1" w:styleId="36">
    <w:name w:val="fontstyle51632"/>
    <w:basedOn w:val="1"/>
    <w:qFormat/>
    <w:uiPriority w:val="0"/>
    <w:pPr>
      <w:widowControl/>
      <w:spacing w:before="100" w:beforeAutospacing="1" w:after="100" w:afterAutospacing="1"/>
      <w:jc w:val="left"/>
    </w:pPr>
    <w:rPr>
      <w:rFonts w:ascii="宋体" w:hAnsi="宋体" w:eastAsia="宋体" w:cs="宋体"/>
      <w:color w:val="3D3D3D"/>
      <w:kern w:val="0"/>
      <w:sz w:val="20"/>
      <w:szCs w:val="20"/>
    </w:rPr>
  </w:style>
  <w:style w:type="paragraph" w:customStyle="1" w:styleId="37">
    <w:name w:val="yijifontover51632"/>
    <w:basedOn w:val="1"/>
    <w:qFormat/>
    <w:uiPriority w:val="0"/>
    <w:pPr>
      <w:widowControl/>
      <w:spacing w:before="100" w:beforeAutospacing="1" w:after="100" w:afterAutospacing="1"/>
      <w:jc w:val="left"/>
    </w:pPr>
    <w:rPr>
      <w:rFonts w:ascii="宋体" w:hAnsi="宋体" w:eastAsia="宋体" w:cs="宋体"/>
      <w:color w:val="CC0000"/>
      <w:kern w:val="0"/>
      <w:sz w:val="20"/>
      <w:szCs w:val="20"/>
    </w:rPr>
  </w:style>
  <w:style w:type="paragraph" w:customStyle="1" w:styleId="38">
    <w:name w:val="erjibackgroundover51632"/>
    <w:basedOn w:val="1"/>
    <w:qFormat/>
    <w:uiPriority w:val="0"/>
    <w:pPr>
      <w:widowControl/>
      <w:shd w:val="clear" w:color="auto" w:fill="E8F0FB"/>
      <w:spacing w:before="100" w:beforeAutospacing="1" w:after="100" w:afterAutospacing="1"/>
      <w:jc w:val="left"/>
    </w:pPr>
    <w:rPr>
      <w:rFonts w:ascii="宋体" w:hAnsi="宋体" w:eastAsia="宋体" w:cs="宋体"/>
      <w:kern w:val="0"/>
      <w:sz w:val="24"/>
      <w:szCs w:val="24"/>
    </w:rPr>
  </w:style>
  <w:style w:type="paragraph" w:customStyle="1" w:styleId="39">
    <w:name w:val="yijibackgroundover5163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0">
    <w:name w:val="ejfontstyle51632"/>
    <w:basedOn w:val="1"/>
    <w:qFormat/>
    <w:uiPriority w:val="0"/>
    <w:pPr>
      <w:widowControl/>
      <w:spacing w:before="100" w:beforeAutospacing="1" w:after="100" w:afterAutospacing="1" w:line="384" w:lineRule="auto"/>
      <w:jc w:val="left"/>
    </w:pPr>
    <w:rPr>
      <w:rFonts w:ascii="宋体" w:hAnsi="宋体" w:eastAsia="宋体" w:cs="宋体"/>
      <w:color w:val="222222"/>
      <w:kern w:val="0"/>
      <w:sz w:val="18"/>
      <w:szCs w:val="18"/>
    </w:rPr>
  </w:style>
  <w:style w:type="paragraph" w:customStyle="1" w:styleId="41">
    <w:name w:val="windowstyle51633"/>
    <w:basedOn w:val="1"/>
    <w:qFormat/>
    <w:uiPriority w:val="0"/>
    <w:pPr>
      <w:widowControl/>
      <w:spacing w:before="100" w:beforeAutospacing="1" w:after="100" w:afterAutospacing="1"/>
      <w:jc w:val="left"/>
    </w:pPr>
    <w:rPr>
      <w:rFonts w:ascii="宋体" w:hAnsi="宋体" w:eastAsia="宋体" w:cs="宋体"/>
      <w:b/>
      <w:bCs/>
      <w:color w:val="CC4446"/>
      <w:kern w:val="0"/>
      <w:sz w:val="20"/>
      <w:szCs w:val="20"/>
    </w:rPr>
  </w:style>
  <w:style w:type="paragraph" w:customStyle="1" w:styleId="42">
    <w:name w:val="splitflagstyle51634"/>
    <w:basedOn w:val="1"/>
    <w:qFormat/>
    <w:uiPriority w:val="0"/>
    <w:pPr>
      <w:widowControl/>
      <w:spacing w:before="100" w:beforeAutospacing="1" w:after="100" w:afterAutospacing="1"/>
      <w:jc w:val="left"/>
    </w:pPr>
    <w:rPr>
      <w:rFonts w:ascii="宋体" w:hAnsi="宋体" w:eastAsia="宋体" w:cs="宋体"/>
      <w:color w:val="606060"/>
      <w:kern w:val="0"/>
      <w:sz w:val="24"/>
      <w:szCs w:val="24"/>
    </w:rPr>
  </w:style>
  <w:style w:type="paragraph" w:customStyle="1" w:styleId="43">
    <w:name w:val="fontstyle51634"/>
    <w:basedOn w:val="1"/>
    <w:qFormat/>
    <w:uiPriority w:val="0"/>
    <w:pPr>
      <w:widowControl/>
      <w:spacing w:before="100" w:beforeAutospacing="1" w:after="100" w:afterAutospacing="1"/>
      <w:jc w:val="left"/>
    </w:pPr>
    <w:rPr>
      <w:rFonts w:ascii="宋体" w:hAnsi="宋体" w:eastAsia="宋体" w:cs="宋体"/>
      <w:color w:val="606060"/>
      <w:kern w:val="0"/>
      <w:sz w:val="18"/>
      <w:szCs w:val="18"/>
    </w:rPr>
  </w:style>
  <w:style w:type="paragraph" w:customStyle="1" w:styleId="44">
    <w:name w:val="winstyle51634"/>
    <w:basedOn w:val="1"/>
    <w:qFormat/>
    <w:uiPriority w:val="0"/>
    <w:pPr>
      <w:widowControl/>
      <w:spacing w:before="100" w:beforeAutospacing="1" w:after="100" w:afterAutospacing="1"/>
      <w:jc w:val="left"/>
    </w:pPr>
    <w:rPr>
      <w:rFonts w:ascii="宋体" w:hAnsi="宋体" w:eastAsia="宋体" w:cs="宋体"/>
      <w:color w:val="606060"/>
      <w:kern w:val="0"/>
      <w:sz w:val="18"/>
      <w:szCs w:val="18"/>
    </w:rPr>
  </w:style>
  <w:style w:type="paragraph" w:customStyle="1" w:styleId="45">
    <w:name w:val="footstyle5163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6">
    <w:name w:val="votestyle51637"/>
    <w:basedOn w:val="1"/>
    <w:qFormat/>
    <w:uiPriority w:val="0"/>
    <w:pPr>
      <w:widowControl/>
      <w:spacing w:before="100" w:beforeAutospacing="1" w:after="100" w:afterAutospacing="1"/>
      <w:jc w:val="left"/>
    </w:pPr>
    <w:rPr>
      <w:rFonts w:ascii="宋体" w:hAnsi="宋体" w:eastAsia="宋体" w:cs="宋体"/>
      <w:b/>
      <w:bCs/>
      <w:color w:val="2B2B2B"/>
      <w:kern w:val="0"/>
      <w:sz w:val="22"/>
    </w:rPr>
  </w:style>
  <w:style w:type="paragraph" w:customStyle="1" w:styleId="47">
    <w:name w:val="navstyle51637"/>
    <w:basedOn w:val="1"/>
    <w:qFormat/>
    <w:uiPriority w:val="0"/>
    <w:pPr>
      <w:widowControl/>
      <w:spacing w:before="100" w:beforeAutospacing="1" w:after="100" w:afterAutospacing="1"/>
      <w:jc w:val="left"/>
    </w:pPr>
    <w:rPr>
      <w:rFonts w:ascii="宋体" w:hAnsi="宋体" w:eastAsia="宋体" w:cs="宋体"/>
      <w:color w:val="222222"/>
      <w:kern w:val="0"/>
      <w:sz w:val="18"/>
      <w:szCs w:val="18"/>
    </w:rPr>
  </w:style>
  <w:style w:type="paragraph" w:customStyle="1" w:styleId="48">
    <w:name w:val="pagestyle51637"/>
    <w:basedOn w:val="1"/>
    <w:qFormat/>
    <w:uiPriority w:val="0"/>
    <w:pPr>
      <w:widowControl/>
      <w:spacing w:before="100" w:beforeAutospacing="1" w:after="100" w:afterAutospacing="1"/>
      <w:jc w:val="left"/>
    </w:pPr>
    <w:rPr>
      <w:rFonts w:ascii="宋体" w:hAnsi="宋体" w:eastAsia="宋体" w:cs="宋体"/>
      <w:color w:val="222222"/>
      <w:kern w:val="0"/>
      <w:sz w:val="18"/>
      <w:szCs w:val="18"/>
    </w:rPr>
  </w:style>
  <w:style w:type="paragraph" w:customStyle="1" w:styleId="49">
    <w:name w:val="authorstyle5163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
    <w:name w:val="contentstyle51637"/>
    <w:basedOn w:val="1"/>
    <w:qFormat/>
    <w:uiPriority w:val="0"/>
    <w:pPr>
      <w:widowControl/>
      <w:spacing w:before="100" w:beforeAutospacing="1" w:after="100" w:afterAutospacing="1" w:line="360" w:lineRule="auto"/>
      <w:jc w:val="left"/>
    </w:pPr>
    <w:rPr>
      <w:rFonts w:ascii="宋体" w:hAnsi="宋体" w:eastAsia="宋体" w:cs="宋体"/>
      <w:kern w:val="0"/>
      <w:sz w:val="18"/>
      <w:szCs w:val="18"/>
    </w:rPr>
  </w:style>
  <w:style w:type="paragraph" w:customStyle="1" w:styleId="51">
    <w:name w:val="titlestyle5163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contextstyle51637"/>
    <w:basedOn w:val="1"/>
    <w:qFormat/>
    <w:uiPriority w:val="0"/>
    <w:pPr>
      <w:widowControl/>
      <w:spacing w:before="100" w:beforeAutospacing="1" w:after="100" w:afterAutospacing="1"/>
      <w:jc w:val="left"/>
    </w:pPr>
    <w:rPr>
      <w:rFonts w:ascii="宋体" w:hAnsi="宋体" w:eastAsia="宋体" w:cs="宋体"/>
      <w:color w:val="222222"/>
      <w:kern w:val="0"/>
      <w:sz w:val="18"/>
      <w:szCs w:val="18"/>
    </w:rPr>
  </w:style>
  <w:style w:type="paragraph" w:customStyle="1" w:styleId="53">
    <w:name w:val="votetitlestyle51637"/>
    <w:basedOn w:val="1"/>
    <w:qFormat/>
    <w:uiPriority w:val="0"/>
    <w:pPr>
      <w:widowControl/>
      <w:spacing w:before="100" w:beforeAutospacing="1" w:after="100" w:afterAutospacing="1"/>
      <w:jc w:val="left"/>
    </w:pPr>
    <w:rPr>
      <w:rFonts w:ascii="宋体" w:hAnsi="宋体" w:eastAsia="宋体" w:cs="宋体"/>
      <w:color w:val="2B2B2B"/>
      <w:kern w:val="0"/>
      <w:sz w:val="18"/>
      <w:szCs w:val="18"/>
    </w:rPr>
  </w:style>
  <w:style w:type="paragraph" w:customStyle="1" w:styleId="54">
    <w:name w:val="timestyle5163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5">
    <w:name w:val="winstyle5163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6">
    <w:name w:val="btextstyle51641"/>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57">
    <w:name w:val="z-窗体顶端1"/>
    <w:basedOn w:val="1"/>
    <w:next w:val="1"/>
    <w:link w:val="58"/>
    <w:semiHidden/>
    <w:unhideWhenUsed/>
    <w:qFormat/>
    <w:uiPriority w:val="99"/>
    <w:pPr>
      <w:widowControl/>
      <w:pBdr>
        <w:bottom w:val="single" w:color="auto" w:sz="6" w:space="1"/>
      </w:pBdr>
      <w:jc w:val="center"/>
    </w:pPr>
    <w:rPr>
      <w:rFonts w:ascii="Arial" w:hAnsi="Arial" w:eastAsia="宋体" w:cs="Arial"/>
      <w:vanish/>
      <w:kern w:val="0"/>
      <w:sz w:val="16"/>
      <w:szCs w:val="16"/>
    </w:rPr>
  </w:style>
  <w:style w:type="character" w:customStyle="1" w:styleId="58">
    <w:name w:val="z-窗体顶端 Char"/>
    <w:basedOn w:val="13"/>
    <w:link w:val="57"/>
    <w:semiHidden/>
    <w:qFormat/>
    <w:uiPriority w:val="99"/>
    <w:rPr>
      <w:rFonts w:ascii="Arial" w:hAnsi="Arial" w:cs="Arial"/>
      <w:vanish/>
      <w:sz w:val="16"/>
      <w:szCs w:val="16"/>
    </w:rPr>
  </w:style>
  <w:style w:type="character" w:customStyle="1" w:styleId="59">
    <w:name w:val="timestyle516371"/>
    <w:basedOn w:val="13"/>
    <w:qFormat/>
    <w:uiPriority w:val="0"/>
    <w:rPr>
      <w:sz w:val="18"/>
      <w:szCs w:val="18"/>
    </w:rPr>
  </w:style>
  <w:style w:type="character" w:customStyle="1" w:styleId="60">
    <w:name w:val="authorstyle516371"/>
    <w:basedOn w:val="13"/>
    <w:qFormat/>
    <w:uiPriority w:val="0"/>
    <w:rPr>
      <w:sz w:val="18"/>
      <w:szCs w:val="18"/>
    </w:rPr>
  </w:style>
  <w:style w:type="paragraph" w:customStyle="1" w:styleId="61">
    <w:name w:val="z-窗体底端1"/>
    <w:basedOn w:val="1"/>
    <w:next w:val="1"/>
    <w:link w:val="62"/>
    <w:unhideWhenUsed/>
    <w:qFormat/>
    <w:uiPriority w:val="99"/>
    <w:pPr>
      <w:widowControl/>
      <w:pBdr>
        <w:top w:val="single" w:color="auto" w:sz="6" w:space="1"/>
      </w:pBdr>
      <w:jc w:val="center"/>
    </w:pPr>
    <w:rPr>
      <w:rFonts w:ascii="Arial" w:hAnsi="Arial" w:eastAsia="宋体" w:cs="Arial"/>
      <w:vanish/>
      <w:kern w:val="0"/>
      <w:sz w:val="16"/>
      <w:szCs w:val="16"/>
    </w:rPr>
  </w:style>
  <w:style w:type="character" w:customStyle="1" w:styleId="62">
    <w:name w:val="z-窗体底端 Char"/>
    <w:basedOn w:val="13"/>
    <w:link w:val="61"/>
    <w:qFormat/>
    <w:uiPriority w:val="99"/>
    <w:rPr>
      <w:rFonts w:ascii="Arial" w:hAnsi="Arial" w:cs="Arial"/>
      <w:vanish/>
      <w:sz w:val="16"/>
      <w:szCs w:val="16"/>
    </w:rPr>
  </w:style>
  <w:style w:type="character" w:customStyle="1" w:styleId="63">
    <w:name w:val="页眉 Char"/>
    <w:basedOn w:val="13"/>
    <w:link w:val="8"/>
    <w:qFormat/>
    <w:uiPriority w:val="99"/>
    <w:rPr>
      <w:rFonts w:ascii="Times New Roman" w:hAnsi="Times New Roman" w:eastAsia="仿宋_GB2312"/>
      <w:kern w:val="2"/>
      <w:sz w:val="18"/>
      <w:szCs w:val="18"/>
    </w:rPr>
  </w:style>
  <w:style w:type="character" w:customStyle="1" w:styleId="64">
    <w:name w:val="标题 2 Char"/>
    <w:basedOn w:val="13"/>
    <w:link w:val="3"/>
    <w:qFormat/>
    <w:uiPriority w:val="0"/>
    <w:rPr>
      <w:rFonts w:ascii="Arial" w:hAnsi="Arial" w:eastAsia="黑体"/>
      <w:b/>
      <w:bCs/>
      <w:kern w:val="2"/>
      <w:sz w:val="28"/>
      <w:szCs w:val="32"/>
    </w:rPr>
  </w:style>
  <w:style w:type="paragraph" w:customStyle="1" w:styleId="65">
    <w:name w:val="Char1"/>
    <w:basedOn w:val="1"/>
    <w:semiHidden/>
    <w:qFormat/>
    <w:uiPriority w:val="0"/>
    <w:pPr>
      <w:widowControl/>
      <w:spacing w:after="160" w:line="240" w:lineRule="exact"/>
      <w:jc w:val="left"/>
    </w:pPr>
    <w:rPr>
      <w:rFonts w:ascii="Verdana" w:hAnsi="Verdana" w:eastAsia="宋体" w:cs="Verdana"/>
      <w:kern w:val="0"/>
      <w:sz w:val="20"/>
      <w:szCs w:val="20"/>
      <w:lang w:eastAsia="en-US"/>
    </w:rPr>
  </w:style>
  <w:style w:type="character" w:customStyle="1" w:styleId="66">
    <w:name w:val="正文文本缩进 3 Char"/>
    <w:basedOn w:val="13"/>
    <w:link w:val="9"/>
    <w:qFormat/>
    <w:uiPriority w:val="99"/>
    <w:rPr>
      <w:kern w:val="2"/>
      <w:sz w:val="16"/>
      <w:szCs w:val="16"/>
    </w:rPr>
  </w:style>
  <w:style w:type="character" w:customStyle="1" w:styleId="67">
    <w:name w:val="正文文本缩进 2 Char"/>
    <w:basedOn w:val="13"/>
    <w:link w:val="5"/>
    <w:semiHidden/>
    <w:qFormat/>
    <w:uiPriority w:val="99"/>
    <w:rPr>
      <w:rFonts w:ascii="Times New Roman" w:hAnsi="Times New Roman" w:eastAsia="仿宋_GB2312"/>
      <w:kern w:val="2"/>
      <w:sz w:val="32"/>
      <w:szCs w:val="22"/>
    </w:rPr>
  </w:style>
  <w:style w:type="character" w:customStyle="1" w:styleId="68">
    <w:name w:val="标题 1 Char"/>
    <w:basedOn w:val="13"/>
    <w:link w:val="2"/>
    <w:qFormat/>
    <w:uiPriority w:val="9"/>
    <w:rPr>
      <w:rFonts w:ascii="Times New Roman" w:hAnsi="Times New Roman" w:eastAsia="仿宋_GB2312"/>
      <w:b/>
      <w:bCs/>
      <w:kern w:val="44"/>
      <w:sz w:val="44"/>
      <w:szCs w:val="44"/>
    </w:rPr>
  </w:style>
  <w:style w:type="paragraph" w:styleId="69">
    <w:name w:val="List Paragraph"/>
    <w:basedOn w:val="1"/>
    <w:unhideWhenUsed/>
    <w:qFormat/>
    <w:uiPriority w:val="99"/>
    <w:pPr>
      <w:ind w:firstLine="420" w:firstLineChars="200"/>
    </w:pPr>
  </w:style>
  <w:style w:type="character" w:customStyle="1" w:styleId="70">
    <w:name w:val="正文文本缩进 Char"/>
    <w:basedOn w:val="13"/>
    <w:link w:val="4"/>
    <w:semiHidden/>
    <w:qFormat/>
    <w:uiPriority w:val="99"/>
    <w:rPr>
      <w:rFonts w:ascii="Times New Roman" w:hAnsi="Times New Roman" w:eastAsia="仿宋_GB2312"/>
      <w:kern w:val="2"/>
      <w:sz w:val="32"/>
      <w:szCs w:val="22"/>
    </w:rPr>
  </w:style>
  <w:style w:type="character" w:customStyle="1" w:styleId="71">
    <w:name w:val="批注框文本 Char"/>
    <w:basedOn w:val="13"/>
    <w:link w:val="6"/>
    <w:semiHidden/>
    <w:qFormat/>
    <w:uiPriority w:val="99"/>
    <w:rPr>
      <w:rFonts w:eastAsia="仿宋_GB2312"/>
      <w:kern w:val="2"/>
      <w:sz w:val="18"/>
      <w:szCs w:val="18"/>
    </w:rPr>
  </w:style>
  <w:style w:type="paragraph" w:customStyle="1" w:styleId="72">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6A9B9E-894D-4254-A475-C46878138B9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1376</Words>
  <Characters>7848</Characters>
  <Lines>65</Lines>
  <Paragraphs>18</Paragraphs>
  <TotalTime>16</TotalTime>
  <ScaleCrop>false</ScaleCrop>
  <LinksUpToDate>false</LinksUpToDate>
  <CharactersWithSpaces>9206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2021-05-14T03:03:00Z</dcterms:created>
  <dc:creator>USER</dc:creator>
  <cp:lastModifiedBy>Administrator</cp:lastModifiedBy>
  <dcterms:modified xsi:type="dcterms:W3CDTF">2021-05-16T02:56:35Z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EE0EC42F0CDF48E091437D1461BD1156</vt:lpwstr>
  </property>
</Properties>
</file>