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451A" w:rsidRDefault="0074451A">
      <w:pPr>
        <w:pStyle w:val="2"/>
        <w:adjustRightInd w:val="0"/>
        <w:snapToGrid w:val="0"/>
        <w:spacing w:before="0" w:after="0" w:line="680" w:lineRule="exact"/>
        <w:jc w:val="center"/>
        <w:rPr>
          <w:rFonts w:ascii="Times New Roman" w:eastAsia="方正小标宋简体" w:hAnsi="Times New Roman" w:cs="Times New Roman"/>
          <w:b w:val="0"/>
          <w:sz w:val="44"/>
          <w:szCs w:val="44"/>
          <w:lang w:val="en-US"/>
        </w:rPr>
      </w:pPr>
    </w:p>
    <w:p w:rsidR="0074451A" w:rsidRDefault="00172AEF">
      <w:pPr>
        <w:pStyle w:val="2"/>
        <w:adjustRightInd w:val="0"/>
        <w:snapToGrid w:val="0"/>
        <w:spacing w:before="0" w:after="0" w:line="700" w:lineRule="exact"/>
        <w:jc w:val="center"/>
        <w:rPr>
          <w:rFonts w:ascii="方正小标宋简体" w:eastAsia="方正小标宋简体" w:hAnsi="方正小标宋简体" w:cs="方正小标宋简体"/>
          <w:b w:val="0"/>
          <w:sz w:val="44"/>
          <w:szCs w:val="44"/>
        </w:rPr>
      </w:pPr>
      <w:r>
        <w:rPr>
          <w:rFonts w:ascii="方正小标宋简体" w:eastAsia="方正小标宋简体" w:hAnsi="方正小标宋简体" w:cs="方正小标宋简体" w:hint="eastAsia"/>
          <w:b w:val="0"/>
          <w:sz w:val="44"/>
          <w:szCs w:val="44"/>
          <w:lang w:val="en-US"/>
        </w:rPr>
        <w:t>2021</w:t>
      </w:r>
      <w:r>
        <w:rPr>
          <w:rFonts w:ascii="方正小标宋简体" w:eastAsia="方正小标宋简体" w:hAnsi="方正小标宋简体" w:cs="方正小标宋简体" w:hint="eastAsia"/>
          <w:b w:val="0"/>
          <w:sz w:val="44"/>
          <w:szCs w:val="44"/>
          <w:lang w:val="en-US"/>
        </w:rPr>
        <w:t>年</w:t>
      </w:r>
      <w:r>
        <w:rPr>
          <w:rFonts w:ascii="方正小标宋简体" w:eastAsia="方正小标宋简体" w:hAnsi="方正小标宋简体" w:cs="方正小标宋简体" w:hint="eastAsia"/>
          <w:b w:val="0"/>
          <w:sz w:val="44"/>
          <w:szCs w:val="44"/>
        </w:rPr>
        <w:t>职业教育省级重点建设项目</w:t>
      </w:r>
    </w:p>
    <w:p w:rsidR="0074451A" w:rsidRDefault="00172AEF">
      <w:pPr>
        <w:pStyle w:val="2"/>
        <w:adjustRightInd w:val="0"/>
        <w:snapToGrid w:val="0"/>
        <w:spacing w:before="0" w:after="0" w:line="700" w:lineRule="exact"/>
        <w:jc w:val="center"/>
        <w:rPr>
          <w:rFonts w:ascii="方正小标宋简体" w:eastAsia="方正小标宋简体" w:hAnsi="方正小标宋简体" w:cs="方正小标宋简体"/>
          <w:b w:val="0"/>
          <w:sz w:val="44"/>
          <w:szCs w:val="44"/>
        </w:rPr>
      </w:pPr>
      <w:r>
        <w:rPr>
          <w:rFonts w:ascii="方正小标宋简体" w:eastAsia="方正小标宋简体" w:hAnsi="方正小标宋简体" w:cs="方正小标宋简体" w:hint="eastAsia"/>
          <w:b w:val="0"/>
          <w:sz w:val="44"/>
          <w:szCs w:val="44"/>
        </w:rPr>
        <w:t>绩效自评报告</w:t>
      </w:r>
    </w:p>
    <w:p w:rsidR="0074451A" w:rsidRDefault="0074451A">
      <w:pPr>
        <w:spacing w:line="680" w:lineRule="exact"/>
        <w:rPr>
          <w:rFonts w:ascii="方正小标宋简体" w:eastAsia="方正小标宋简体" w:hAnsi="方正小标宋简体" w:cs="方正小标宋简体"/>
        </w:rPr>
      </w:pPr>
    </w:p>
    <w:p w:rsidR="0074451A" w:rsidRDefault="0074451A">
      <w:pPr>
        <w:spacing w:line="680" w:lineRule="exact"/>
      </w:pPr>
    </w:p>
    <w:p w:rsidR="0074451A" w:rsidRDefault="0074451A">
      <w:pPr>
        <w:spacing w:line="680" w:lineRule="exact"/>
      </w:pPr>
    </w:p>
    <w:p w:rsidR="0074451A" w:rsidRDefault="0074451A">
      <w:pPr>
        <w:spacing w:line="680" w:lineRule="exact"/>
      </w:pPr>
    </w:p>
    <w:p w:rsidR="0074451A" w:rsidRDefault="0074451A">
      <w:pPr>
        <w:spacing w:line="680" w:lineRule="exact"/>
      </w:pPr>
    </w:p>
    <w:p w:rsidR="0074451A" w:rsidRDefault="0074451A">
      <w:pPr>
        <w:spacing w:line="680" w:lineRule="exact"/>
      </w:pPr>
    </w:p>
    <w:tbl>
      <w:tblPr>
        <w:tblW w:w="7020" w:type="dxa"/>
        <w:jc w:val="center"/>
        <w:tblLayout w:type="fixed"/>
        <w:tblLook w:val="04A0" w:firstRow="1" w:lastRow="0" w:firstColumn="1" w:lastColumn="0" w:noHBand="0" w:noVBand="1"/>
      </w:tblPr>
      <w:tblGrid>
        <w:gridCol w:w="2501"/>
        <w:gridCol w:w="4519"/>
      </w:tblGrid>
      <w:tr w:rsidR="0074451A">
        <w:trPr>
          <w:jc w:val="center"/>
        </w:trPr>
        <w:tc>
          <w:tcPr>
            <w:tcW w:w="2500" w:type="dxa"/>
          </w:tcPr>
          <w:p w:rsidR="0074451A" w:rsidRDefault="00172AEF">
            <w:pPr>
              <w:adjustRightInd w:val="0"/>
              <w:snapToGrid w:val="0"/>
              <w:spacing w:line="680" w:lineRule="exact"/>
              <w:jc w:val="distribute"/>
              <w:rPr>
                <w:rFonts w:ascii="仿宋_GB2312" w:eastAsia="仿宋_GB2312" w:hAnsi="仿宋_GB2312" w:cs="仿宋_GB2312"/>
                <w:sz w:val="28"/>
                <w:szCs w:val="28"/>
              </w:rPr>
            </w:pPr>
            <w:r>
              <w:rPr>
                <w:rFonts w:ascii="仿宋_GB2312" w:eastAsia="仿宋_GB2312" w:hAnsi="仿宋_GB2312" w:cs="仿宋_GB2312" w:hint="eastAsia"/>
                <w:sz w:val="28"/>
                <w:szCs w:val="28"/>
              </w:rPr>
              <w:t>项目名称</w:t>
            </w:r>
          </w:p>
        </w:tc>
        <w:tc>
          <w:tcPr>
            <w:tcW w:w="4517" w:type="dxa"/>
          </w:tcPr>
          <w:p w:rsidR="0074451A" w:rsidRDefault="00172AEF">
            <w:pPr>
              <w:adjustRightInd w:val="0"/>
              <w:snapToGrid w:val="0"/>
              <w:spacing w:line="680" w:lineRule="exact"/>
              <w:rPr>
                <w:rFonts w:ascii="仿宋_GB2312" w:eastAsia="仿宋_GB2312" w:hAnsi="仿宋_GB2312" w:cs="仿宋_GB2312"/>
                <w:sz w:val="28"/>
                <w:szCs w:val="28"/>
                <w:u w:val="single"/>
              </w:rPr>
            </w:pP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u w:val="single"/>
                <w:lang w:val="en-US"/>
              </w:rPr>
              <w:t xml:space="preserve"> </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u w:val="single"/>
              </w:rPr>
              <w:t>卓越中等职业学校</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u w:val="single"/>
                <w:lang w:val="en-US"/>
              </w:rPr>
              <w:t xml:space="preserve">       </w:t>
            </w:r>
            <w:r>
              <w:rPr>
                <w:rFonts w:ascii="仿宋_GB2312" w:eastAsia="仿宋_GB2312" w:hAnsi="仿宋_GB2312" w:cs="仿宋_GB2312" w:hint="eastAsia"/>
                <w:sz w:val="28"/>
                <w:szCs w:val="28"/>
                <w:u w:val="single"/>
              </w:rPr>
              <w:t xml:space="preserve">                 </w:t>
            </w:r>
          </w:p>
        </w:tc>
      </w:tr>
      <w:tr w:rsidR="0074451A">
        <w:trPr>
          <w:jc w:val="center"/>
        </w:trPr>
        <w:tc>
          <w:tcPr>
            <w:tcW w:w="2500" w:type="dxa"/>
          </w:tcPr>
          <w:p w:rsidR="0074451A" w:rsidRDefault="00172AEF">
            <w:pPr>
              <w:adjustRightInd w:val="0"/>
              <w:snapToGrid w:val="0"/>
              <w:spacing w:line="680" w:lineRule="exact"/>
              <w:jc w:val="distribute"/>
              <w:rPr>
                <w:rFonts w:ascii="仿宋_GB2312" w:eastAsia="仿宋_GB2312" w:hAnsi="仿宋_GB2312" w:cs="仿宋_GB2312"/>
                <w:sz w:val="28"/>
                <w:szCs w:val="28"/>
                <w:u w:val="single"/>
              </w:rPr>
            </w:pPr>
            <w:r>
              <w:rPr>
                <w:rFonts w:ascii="仿宋_GB2312" w:eastAsia="仿宋_GB2312" w:hAnsi="仿宋_GB2312" w:cs="仿宋_GB2312" w:hint="eastAsia"/>
                <w:sz w:val="28"/>
                <w:szCs w:val="28"/>
              </w:rPr>
              <w:t>立项年度</w:t>
            </w:r>
          </w:p>
        </w:tc>
        <w:tc>
          <w:tcPr>
            <w:tcW w:w="4517" w:type="dxa"/>
          </w:tcPr>
          <w:p w:rsidR="0074451A" w:rsidRDefault="00172AEF">
            <w:pPr>
              <w:adjustRightInd w:val="0"/>
              <w:snapToGrid w:val="0"/>
              <w:spacing w:line="680" w:lineRule="exact"/>
              <w:rPr>
                <w:rFonts w:ascii="仿宋_GB2312" w:eastAsia="仿宋_GB2312" w:hAnsi="仿宋_GB2312" w:cs="仿宋_GB2312"/>
                <w:sz w:val="28"/>
                <w:szCs w:val="28"/>
                <w:u w:val="single"/>
              </w:rPr>
            </w:pP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u w:val="single"/>
                <w:lang w:val="en-US"/>
              </w:rPr>
              <w:t xml:space="preserve">     </w:t>
            </w:r>
            <w:r>
              <w:rPr>
                <w:rFonts w:ascii="仿宋_GB2312" w:eastAsia="仿宋_GB2312" w:hAnsi="仿宋_GB2312" w:cs="仿宋_GB2312" w:hint="eastAsia"/>
                <w:sz w:val="28"/>
                <w:szCs w:val="28"/>
                <w:u w:val="single"/>
              </w:rPr>
              <w:t xml:space="preserve"> 2016            </w:t>
            </w:r>
            <w:r>
              <w:rPr>
                <w:rFonts w:ascii="仿宋_GB2312" w:eastAsia="仿宋_GB2312" w:hAnsi="仿宋_GB2312" w:cs="仿宋_GB2312" w:hint="eastAsia"/>
                <w:sz w:val="28"/>
                <w:szCs w:val="28"/>
                <w:u w:val="single"/>
                <w:lang w:val="en-US"/>
              </w:rPr>
              <w:t xml:space="preserve">        </w:t>
            </w:r>
          </w:p>
        </w:tc>
      </w:tr>
      <w:tr w:rsidR="0074451A">
        <w:trPr>
          <w:jc w:val="center"/>
        </w:trPr>
        <w:tc>
          <w:tcPr>
            <w:tcW w:w="2500" w:type="dxa"/>
          </w:tcPr>
          <w:p w:rsidR="0074451A" w:rsidRDefault="00172AEF">
            <w:pPr>
              <w:adjustRightInd w:val="0"/>
              <w:snapToGrid w:val="0"/>
              <w:spacing w:line="680" w:lineRule="exact"/>
              <w:jc w:val="distribute"/>
              <w:rPr>
                <w:rFonts w:ascii="仿宋_GB2312" w:eastAsia="仿宋_GB2312" w:hAnsi="仿宋_GB2312" w:cs="仿宋_GB2312"/>
                <w:sz w:val="28"/>
                <w:szCs w:val="28"/>
              </w:rPr>
            </w:pPr>
            <w:r>
              <w:rPr>
                <w:rFonts w:ascii="仿宋_GB2312" w:eastAsia="仿宋_GB2312" w:hAnsi="仿宋_GB2312" w:cs="仿宋_GB2312" w:hint="eastAsia"/>
                <w:color w:val="000000"/>
                <w:sz w:val="28"/>
                <w:szCs w:val="28"/>
              </w:rPr>
              <w:t>项目学校（盖章）</w:t>
            </w:r>
          </w:p>
        </w:tc>
        <w:tc>
          <w:tcPr>
            <w:tcW w:w="4517" w:type="dxa"/>
          </w:tcPr>
          <w:p w:rsidR="0074451A" w:rsidRDefault="00172AEF">
            <w:pPr>
              <w:adjustRightInd w:val="0"/>
              <w:snapToGrid w:val="0"/>
              <w:spacing w:line="680" w:lineRule="exact"/>
              <w:rPr>
                <w:rFonts w:ascii="仿宋_GB2312" w:eastAsia="仿宋_GB2312" w:hAnsi="仿宋_GB2312" w:cs="仿宋_GB2312"/>
                <w:sz w:val="28"/>
                <w:szCs w:val="28"/>
                <w:u w:val="single"/>
              </w:rPr>
            </w:pP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u w:val="single"/>
              </w:rPr>
              <w:t>溆浦县职业中等专业学校</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u w:val="single"/>
                <w:lang w:val="en-US"/>
              </w:rPr>
              <w:t xml:space="preserve">        </w:t>
            </w:r>
          </w:p>
        </w:tc>
      </w:tr>
      <w:tr w:rsidR="0074451A">
        <w:trPr>
          <w:jc w:val="center"/>
        </w:trPr>
        <w:tc>
          <w:tcPr>
            <w:tcW w:w="2500" w:type="dxa"/>
          </w:tcPr>
          <w:p w:rsidR="0074451A" w:rsidRDefault="00172AEF">
            <w:pPr>
              <w:adjustRightInd w:val="0"/>
              <w:snapToGrid w:val="0"/>
              <w:spacing w:line="680" w:lineRule="exact"/>
              <w:jc w:val="distribute"/>
              <w:rPr>
                <w:rFonts w:ascii="仿宋_GB2312" w:eastAsia="仿宋_GB2312" w:hAnsi="仿宋_GB2312" w:cs="仿宋_GB2312"/>
                <w:sz w:val="28"/>
                <w:szCs w:val="28"/>
              </w:rPr>
            </w:pPr>
            <w:r>
              <w:rPr>
                <w:rFonts w:ascii="仿宋_GB2312" w:eastAsia="仿宋_GB2312" w:hAnsi="仿宋_GB2312" w:cs="仿宋_GB2312" w:hint="eastAsia"/>
                <w:sz w:val="28"/>
                <w:szCs w:val="28"/>
              </w:rPr>
              <w:t>项目负责人</w:t>
            </w:r>
          </w:p>
        </w:tc>
        <w:tc>
          <w:tcPr>
            <w:tcW w:w="4517" w:type="dxa"/>
          </w:tcPr>
          <w:p w:rsidR="0074451A" w:rsidRDefault="00172AEF">
            <w:pPr>
              <w:adjustRightInd w:val="0"/>
              <w:snapToGrid w:val="0"/>
              <w:spacing w:line="680" w:lineRule="exact"/>
              <w:rPr>
                <w:rFonts w:ascii="仿宋_GB2312" w:eastAsia="仿宋_GB2312" w:hAnsi="仿宋_GB2312" w:cs="仿宋_GB2312"/>
                <w:sz w:val="28"/>
                <w:szCs w:val="28"/>
                <w:u w:val="single"/>
              </w:rPr>
            </w:pP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u w:val="single"/>
                <w:lang w:val="en-US"/>
              </w:rPr>
              <w:t xml:space="preserve">     </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u w:val="single"/>
              </w:rPr>
              <w:t>罗尚刚</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u w:val="single"/>
                <w:lang w:val="en-US"/>
              </w:rPr>
              <w:t xml:space="preserve">        </w:t>
            </w:r>
          </w:p>
        </w:tc>
      </w:tr>
      <w:tr w:rsidR="0074451A">
        <w:trPr>
          <w:jc w:val="center"/>
        </w:trPr>
        <w:tc>
          <w:tcPr>
            <w:tcW w:w="2500" w:type="dxa"/>
          </w:tcPr>
          <w:p w:rsidR="0074451A" w:rsidRDefault="00172AEF">
            <w:pPr>
              <w:adjustRightInd w:val="0"/>
              <w:snapToGrid w:val="0"/>
              <w:spacing w:line="680" w:lineRule="exact"/>
              <w:jc w:val="distribute"/>
              <w:rPr>
                <w:rFonts w:ascii="仿宋_GB2312" w:eastAsia="仿宋_GB2312" w:hAnsi="仿宋_GB2312" w:cs="仿宋_GB2312"/>
                <w:sz w:val="28"/>
                <w:szCs w:val="28"/>
              </w:rPr>
            </w:pPr>
            <w:r>
              <w:rPr>
                <w:rFonts w:ascii="仿宋_GB2312" w:eastAsia="仿宋_GB2312" w:hAnsi="仿宋_GB2312" w:cs="仿宋_GB2312" w:hint="eastAsia"/>
                <w:sz w:val="28"/>
                <w:szCs w:val="28"/>
              </w:rPr>
              <w:t>项目联系人</w:t>
            </w:r>
          </w:p>
        </w:tc>
        <w:tc>
          <w:tcPr>
            <w:tcW w:w="4517" w:type="dxa"/>
          </w:tcPr>
          <w:p w:rsidR="0074451A" w:rsidRDefault="00172AEF">
            <w:pPr>
              <w:adjustRightInd w:val="0"/>
              <w:snapToGrid w:val="0"/>
              <w:spacing w:line="680" w:lineRule="exact"/>
              <w:rPr>
                <w:rFonts w:ascii="仿宋_GB2312" w:eastAsia="仿宋_GB2312" w:hAnsi="仿宋_GB2312" w:cs="仿宋_GB2312"/>
                <w:sz w:val="28"/>
                <w:szCs w:val="28"/>
                <w:u w:val="single"/>
              </w:rPr>
            </w:pP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u w:val="single"/>
                <w:lang w:val="en-US"/>
              </w:rPr>
              <w:t xml:space="preserve">      </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u w:val="single"/>
              </w:rPr>
              <w:t>王</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u w:val="single"/>
              </w:rPr>
              <w:t>勤</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u w:val="single"/>
                <w:lang w:val="en-US"/>
              </w:rPr>
              <w:t xml:space="preserve">       </w:t>
            </w:r>
            <w:r>
              <w:rPr>
                <w:rFonts w:ascii="仿宋_GB2312" w:eastAsia="仿宋_GB2312" w:hAnsi="仿宋_GB2312" w:cs="仿宋_GB2312" w:hint="eastAsia"/>
                <w:sz w:val="28"/>
                <w:szCs w:val="28"/>
                <w:lang w:val="en-US"/>
              </w:rPr>
              <w:t xml:space="preserve"> </w:t>
            </w:r>
          </w:p>
        </w:tc>
      </w:tr>
      <w:tr w:rsidR="0074451A">
        <w:trPr>
          <w:jc w:val="center"/>
        </w:trPr>
        <w:tc>
          <w:tcPr>
            <w:tcW w:w="2500" w:type="dxa"/>
            <w:vAlign w:val="center"/>
          </w:tcPr>
          <w:p w:rsidR="0074451A" w:rsidRDefault="00172AEF">
            <w:pPr>
              <w:adjustRightInd w:val="0"/>
              <w:snapToGrid w:val="0"/>
              <w:spacing w:line="680" w:lineRule="exact"/>
              <w:jc w:val="distribute"/>
              <w:rPr>
                <w:rFonts w:ascii="仿宋_GB2312" w:eastAsia="仿宋_GB2312" w:hAnsi="仿宋_GB2312" w:cs="仿宋_GB2312"/>
                <w:sz w:val="28"/>
                <w:szCs w:val="28"/>
              </w:rPr>
            </w:pPr>
            <w:r>
              <w:rPr>
                <w:rFonts w:ascii="仿宋_GB2312" w:eastAsia="仿宋_GB2312" w:hAnsi="仿宋_GB2312" w:cs="仿宋_GB2312" w:hint="eastAsia"/>
                <w:sz w:val="28"/>
                <w:szCs w:val="28"/>
              </w:rPr>
              <w:t>办公电话</w:t>
            </w:r>
          </w:p>
        </w:tc>
        <w:tc>
          <w:tcPr>
            <w:tcW w:w="4517" w:type="dxa"/>
          </w:tcPr>
          <w:p w:rsidR="0074451A" w:rsidRDefault="00172AEF">
            <w:pPr>
              <w:adjustRightInd w:val="0"/>
              <w:snapToGrid w:val="0"/>
              <w:spacing w:line="680" w:lineRule="exact"/>
              <w:rPr>
                <w:rFonts w:ascii="仿宋_GB2312" w:eastAsia="仿宋_GB2312" w:hAnsi="仿宋_GB2312" w:cs="仿宋_GB2312"/>
                <w:sz w:val="28"/>
                <w:szCs w:val="28"/>
                <w:u w:val="single"/>
              </w:rPr>
            </w:pP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u w:val="single"/>
                <w:lang w:val="en-US"/>
              </w:rPr>
              <w:t xml:space="preserve">   </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u w:val="single"/>
                <w:lang w:val="en-US"/>
              </w:rPr>
              <w:t xml:space="preserve"> </w:t>
            </w:r>
            <w:r>
              <w:rPr>
                <w:rFonts w:ascii="仿宋_GB2312" w:eastAsia="仿宋_GB2312" w:hAnsi="仿宋_GB2312" w:cs="仿宋_GB2312" w:hint="eastAsia"/>
                <w:sz w:val="28"/>
                <w:szCs w:val="28"/>
                <w:u w:val="single"/>
              </w:rPr>
              <w:t xml:space="preserve"> 0745-3227888           </w:t>
            </w:r>
            <w:r>
              <w:rPr>
                <w:rFonts w:ascii="仿宋_GB2312" w:eastAsia="仿宋_GB2312" w:hAnsi="仿宋_GB2312" w:cs="仿宋_GB2312" w:hint="eastAsia"/>
                <w:sz w:val="28"/>
                <w:szCs w:val="28"/>
                <w:u w:val="single"/>
                <w:lang w:val="en-US"/>
              </w:rPr>
              <w:t xml:space="preserve">        </w:t>
            </w:r>
          </w:p>
        </w:tc>
      </w:tr>
      <w:tr w:rsidR="0074451A">
        <w:trPr>
          <w:trHeight w:val="614"/>
          <w:jc w:val="center"/>
        </w:trPr>
        <w:tc>
          <w:tcPr>
            <w:tcW w:w="2500" w:type="dxa"/>
            <w:vAlign w:val="center"/>
          </w:tcPr>
          <w:p w:rsidR="0074451A" w:rsidRDefault="00172AEF">
            <w:pPr>
              <w:adjustRightInd w:val="0"/>
              <w:snapToGrid w:val="0"/>
              <w:spacing w:line="680" w:lineRule="exact"/>
              <w:jc w:val="distribute"/>
              <w:rPr>
                <w:rFonts w:ascii="仿宋_GB2312" w:eastAsia="仿宋_GB2312" w:hAnsi="仿宋_GB2312" w:cs="仿宋_GB2312"/>
                <w:sz w:val="28"/>
                <w:szCs w:val="28"/>
              </w:rPr>
            </w:pPr>
            <w:r>
              <w:rPr>
                <w:rFonts w:ascii="仿宋_GB2312" w:eastAsia="仿宋_GB2312" w:hAnsi="仿宋_GB2312" w:cs="仿宋_GB2312" w:hint="eastAsia"/>
                <w:sz w:val="28"/>
                <w:szCs w:val="28"/>
              </w:rPr>
              <w:t>手机号码</w:t>
            </w:r>
          </w:p>
        </w:tc>
        <w:tc>
          <w:tcPr>
            <w:tcW w:w="4517" w:type="dxa"/>
            <w:vAlign w:val="center"/>
          </w:tcPr>
          <w:p w:rsidR="0074451A" w:rsidRDefault="00172AEF">
            <w:pPr>
              <w:adjustRightInd w:val="0"/>
              <w:snapToGrid w:val="0"/>
              <w:spacing w:line="680" w:lineRule="exact"/>
              <w:rPr>
                <w:rFonts w:ascii="仿宋_GB2312" w:eastAsia="仿宋_GB2312" w:hAnsi="仿宋_GB2312" w:cs="仿宋_GB2312"/>
                <w:sz w:val="28"/>
                <w:szCs w:val="28"/>
                <w:u w:val="single"/>
              </w:rPr>
            </w:pP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u w:val="single"/>
                <w:lang w:val="en-US"/>
              </w:rPr>
              <w:t xml:space="preserve">     </w:t>
            </w:r>
            <w:r>
              <w:rPr>
                <w:rFonts w:ascii="仿宋_GB2312" w:eastAsia="仿宋_GB2312" w:hAnsi="仿宋_GB2312" w:cs="仿宋_GB2312" w:hint="eastAsia"/>
                <w:sz w:val="28"/>
                <w:szCs w:val="28"/>
                <w:u w:val="single"/>
              </w:rPr>
              <w:t xml:space="preserve"> 13907456208             </w:t>
            </w:r>
            <w:r>
              <w:rPr>
                <w:rFonts w:ascii="仿宋_GB2312" w:eastAsia="仿宋_GB2312" w:hAnsi="仿宋_GB2312" w:cs="仿宋_GB2312" w:hint="eastAsia"/>
                <w:sz w:val="28"/>
                <w:szCs w:val="28"/>
                <w:u w:val="single"/>
                <w:lang w:val="en-US"/>
              </w:rPr>
              <w:t xml:space="preserve">        </w:t>
            </w:r>
          </w:p>
        </w:tc>
      </w:tr>
      <w:tr w:rsidR="0074451A">
        <w:trPr>
          <w:trHeight w:val="563"/>
          <w:jc w:val="center"/>
        </w:trPr>
        <w:tc>
          <w:tcPr>
            <w:tcW w:w="2500" w:type="dxa"/>
            <w:vAlign w:val="center"/>
          </w:tcPr>
          <w:p w:rsidR="0074451A" w:rsidRDefault="00172AEF">
            <w:pPr>
              <w:adjustRightInd w:val="0"/>
              <w:snapToGrid w:val="0"/>
              <w:spacing w:line="680" w:lineRule="exact"/>
              <w:jc w:val="distribute"/>
              <w:rPr>
                <w:rFonts w:ascii="仿宋_GB2312" w:eastAsia="仿宋_GB2312" w:hAnsi="仿宋_GB2312" w:cs="仿宋_GB2312"/>
                <w:sz w:val="28"/>
                <w:szCs w:val="28"/>
              </w:rPr>
            </w:pPr>
            <w:r>
              <w:rPr>
                <w:rFonts w:ascii="仿宋_GB2312" w:eastAsia="仿宋_GB2312" w:hAnsi="仿宋_GB2312" w:cs="仿宋_GB2312" w:hint="eastAsia"/>
                <w:sz w:val="28"/>
                <w:szCs w:val="28"/>
              </w:rPr>
              <w:t>电子邮箱</w:t>
            </w:r>
          </w:p>
        </w:tc>
        <w:tc>
          <w:tcPr>
            <w:tcW w:w="4517" w:type="dxa"/>
            <w:vAlign w:val="center"/>
          </w:tcPr>
          <w:p w:rsidR="0074451A" w:rsidRDefault="00172AEF" w:rsidP="00BF332B">
            <w:pPr>
              <w:spacing w:line="680" w:lineRule="exact"/>
              <w:rPr>
                <w:rFonts w:ascii="仿宋_GB2312" w:eastAsia="仿宋_GB2312" w:hAnsi="仿宋_GB2312" w:cs="仿宋_GB2312"/>
                <w:sz w:val="28"/>
                <w:szCs w:val="28"/>
                <w:u w:val="single"/>
              </w:rPr>
            </w:pP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u w:val="single"/>
                <w:lang w:val="en-US"/>
              </w:rPr>
              <w:t xml:space="preserve">   </w:t>
            </w:r>
            <w:r>
              <w:rPr>
                <w:rFonts w:ascii="仿宋_GB2312" w:eastAsia="仿宋_GB2312" w:hAnsi="仿宋_GB2312" w:cs="仿宋_GB2312" w:hint="eastAsia"/>
                <w:sz w:val="28"/>
                <w:szCs w:val="28"/>
                <w:u w:val="single"/>
              </w:rPr>
              <w:t xml:space="preserve"> </w:t>
            </w:r>
            <w:bookmarkStart w:id="0" w:name="_GoBack"/>
            <w:bookmarkEnd w:id="0"/>
            <w:r>
              <w:rPr>
                <w:rFonts w:ascii="仿宋_GB2312" w:eastAsia="仿宋_GB2312" w:hAnsi="仿宋_GB2312" w:cs="仿宋_GB2312" w:hint="eastAsia"/>
                <w:sz w:val="28"/>
                <w:szCs w:val="28"/>
                <w:u w:val="single"/>
              </w:rPr>
              <w:t xml:space="preserve">461135487@qq.com              </w:t>
            </w:r>
            <w:r>
              <w:rPr>
                <w:rFonts w:ascii="仿宋_GB2312" w:eastAsia="仿宋_GB2312" w:hAnsi="仿宋_GB2312" w:cs="仿宋_GB2312" w:hint="eastAsia"/>
                <w:sz w:val="28"/>
                <w:szCs w:val="28"/>
                <w:u w:val="single"/>
                <w:lang w:val="en-US"/>
              </w:rPr>
              <w:t xml:space="preserve">        </w:t>
            </w:r>
          </w:p>
        </w:tc>
      </w:tr>
    </w:tbl>
    <w:p w:rsidR="0074451A" w:rsidRDefault="00172AEF">
      <w:pPr>
        <w:pStyle w:val="2"/>
        <w:adjustRightInd w:val="0"/>
        <w:snapToGrid w:val="0"/>
        <w:spacing w:before="0" w:after="0" w:line="680" w:lineRule="exact"/>
        <w:jc w:val="both"/>
        <w:rPr>
          <w:rFonts w:ascii="Times New Roman" w:eastAsia="方正小标宋简体" w:hAnsi="Times New Roman" w:cs="Times New Roman"/>
          <w:bCs w:val="0"/>
          <w:sz w:val="44"/>
          <w:szCs w:val="44"/>
          <w:lang w:val="en-US"/>
        </w:rPr>
      </w:pPr>
      <w:r>
        <w:rPr>
          <w:rFonts w:ascii="Times New Roman" w:eastAsia="方正小标宋简体" w:hAnsi="Times New Roman" w:cs="Times New Roman"/>
          <w:bCs w:val="0"/>
          <w:sz w:val="44"/>
          <w:szCs w:val="44"/>
          <w:lang w:val="en-US"/>
        </w:rPr>
        <w:br w:type="page"/>
      </w:r>
    </w:p>
    <w:p w:rsidR="0074451A" w:rsidRDefault="00172AEF">
      <w:pPr>
        <w:pStyle w:val="2"/>
        <w:adjustRightInd w:val="0"/>
        <w:snapToGrid w:val="0"/>
        <w:spacing w:before="0" w:after="0" w:line="680" w:lineRule="exact"/>
        <w:jc w:val="center"/>
        <w:rPr>
          <w:rFonts w:ascii="Times New Roman" w:eastAsia="方正小标宋简体" w:hAnsi="Times New Roman" w:cs="Times New Roman"/>
          <w:b w:val="0"/>
          <w:sz w:val="44"/>
          <w:szCs w:val="44"/>
        </w:rPr>
      </w:pPr>
      <w:r>
        <w:rPr>
          <w:rFonts w:ascii="Times New Roman" w:eastAsia="方正小标宋简体" w:hAnsi="Times New Roman" w:cs="Times New Roman"/>
          <w:b w:val="0"/>
          <w:sz w:val="44"/>
          <w:szCs w:val="44"/>
          <w:lang w:val="en-US"/>
        </w:rPr>
        <w:lastRenderedPageBreak/>
        <w:t>2021</w:t>
      </w:r>
      <w:r>
        <w:rPr>
          <w:rFonts w:ascii="Times New Roman" w:eastAsia="方正小标宋简体" w:hAnsi="Times New Roman" w:cs="Times New Roman" w:hint="eastAsia"/>
          <w:b w:val="0"/>
          <w:sz w:val="44"/>
          <w:szCs w:val="44"/>
          <w:lang w:val="en-US"/>
        </w:rPr>
        <w:t>年</w:t>
      </w:r>
      <w:r>
        <w:rPr>
          <w:rFonts w:ascii="Times New Roman" w:eastAsia="方正小标宋简体" w:hAnsi="Times New Roman" w:cs="Times New Roman" w:hint="eastAsia"/>
          <w:b w:val="0"/>
          <w:sz w:val="44"/>
          <w:szCs w:val="44"/>
        </w:rPr>
        <w:t>职业教育省级重点建设项目</w:t>
      </w:r>
    </w:p>
    <w:p w:rsidR="0074451A" w:rsidRDefault="00172AEF">
      <w:pPr>
        <w:pStyle w:val="2"/>
        <w:adjustRightInd w:val="0"/>
        <w:snapToGrid w:val="0"/>
        <w:spacing w:before="0" w:after="0" w:line="680" w:lineRule="exact"/>
        <w:jc w:val="center"/>
        <w:rPr>
          <w:rFonts w:ascii="Times New Roman" w:eastAsia="方正小标宋简体" w:hAnsi="Times New Roman" w:cs="Times New Roman"/>
          <w:b w:val="0"/>
          <w:sz w:val="44"/>
          <w:szCs w:val="44"/>
        </w:rPr>
      </w:pPr>
      <w:r>
        <w:rPr>
          <w:rFonts w:ascii="Times New Roman" w:eastAsia="方正小标宋简体" w:hAnsi="Times New Roman" w:cs="Times New Roman" w:hint="eastAsia"/>
          <w:b w:val="0"/>
          <w:sz w:val="44"/>
          <w:szCs w:val="44"/>
        </w:rPr>
        <w:t>绩效自评报告</w:t>
      </w:r>
    </w:p>
    <w:p w:rsidR="0074451A" w:rsidRDefault="0074451A">
      <w:pPr>
        <w:spacing w:line="680" w:lineRule="exact"/>
        <w:rPr>
          <w:rFonts w:ascii="Times New Roman" w:eastAsia="仿宋_GB2312" w:hAnsi="Times New Roman" w:cs="Times New Roman"/>
          <w:sz w:val="32"/>
          <w:szCs w:val="32"/>
        </w:rPr>
      </w:pPr>
    </w:p>
    <w:p w:rsidR="0074451A" w:rsidRDefault="00172AEF">
      <w:pPr>
        <w:spacing w:line="680" w:lineRule="exact"/>
        <w:ind w:firstLineChars="200" w:firstLine="640"/>
        <w:jc w:val="both"/>
        <w:rPr>
          <w:rFonts w:ascii="Times New Roman" w:eastAsia="黑体" w:hAnsi="Times New Roman" w:cs="Times New Roman"/>
          <w:sz w:val="32"/>
          <w:szCs w:val="32"/>
        </w:rPr>
      </w:pPr>
      <w:r>
        <w:rPr>
          <w:rFonts w:ascii="Times New Roman" w:eastAsia="黑体" w:hAnsi="Times New Roman" w:cs="Times New Roman" w:hint="eastAsia"/>
          <w:sz w:val="32"/>
          <w:szCs w:val="32"/>
        </w:rPr>
        <w:t>一、项目概况</w:t>
      </w:r>
    </w:p>
    <w:p w:rsidR="0074451A" w:rsidRDefault="00172AEF">
      <w:pPr>
        <w:spacing w:line="680" w:lineRule="exact"/>
        <w:ind w:firstLine="561"/>
        <w:rPr>
          <w:rFonts w:ascii="仿宋_GB2312" w:eastAsia="仿宋_GB2312" w:hAnsi="仿宋_GB2312" w:cs="仿宋_GB2312"/>
          <w:sz w:val="32"/>
          <w:szCs w:val="32"/>
        </w:rPr>
      </w:pPr>
      <w:r>
        <w:rPr>
          <w:rFonts w:ascii="仿宋_GB2312" w:eastAsia="仿宋_GB2312" w:hAnsi="仿宋_GB2312" w:cs="仿宋_GB2312" w:hint="eastAsia"/>
          <w:sz w:val="32"/>
          <w:szCs w:val="32"/>
        </w:rPr>
        <w:t>学校创建于</w:t>
      </w:r>
      <w:r>
        <w:rPr>
          <w:rFonts w:ascii="仿宋_GB2312" w:eastAsia="仿宋_GB2312" w:hAnsi="仿宋_GB2312" w:cs="仿宋_GB2312" w:hint="eastAsia"/>
          <w:sz w:val="32"/>
          <w:szCs w:val="32"/>
        </w:rPr>
        <w:t>1983</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2000</w:t>
      </w:r>
      <w:r>
        <w:rPr>
          <w:rFonts w:ascii="仿宋_GB2312" w:eastAsia="仿宋_GB2312" w:hAnsi="仿宋_GB2312" w:cs="仿宋_GB2312" w:hint="eastAsia"/>
          <w:sz w:val="32"/>
          <w:szCs w:val="32"/>
        </w:rPr>
        <w:t>年被教育部授予首批国家级重点职业中专学校，</w:t>
      </w:r>
      <w:r>
        <w:rPr>
          <w:rFonts w:ascii="仿宋_GB2312" w:eastAsia="仿宋_GB2312" w:hAnsi="仿宋_GB2312" w:cs="仿宋_GB2312" w:hint="eastAsia"/>
          <w:sz w:val="32"/>
          <w:szCs w:val="32"/>
        </w:rPr>
        <w:t>2012</w:t>
      </w:r>
      <w:r>
        <w:rPr>
          <w:rFonts w:ascii="仿宋_GB2312" w:eastAsia="仿宋_GB2312" w:hAnsi="仿宋_GB2312" w:cs="仿宋_GB2312" w:hint="eastAsia"/>
          <w:sz w:val="32"/>
          <w:szCs w:val="32"/>
        </w:rPr>
        <w:t>年由学校牵头的县级职教中心立项为省示范性县级职教中心，</w:t>
      </w:r>
      <w:r>
        <w:rPr>
          <w:rFonts w:ascii="仿宋_GB2312" w:eastAsia="仿宋_GB2312" w:hAnsi="仿宋_GB2312" w:cs="仿宋_GB2312" w:hint="eastAsia"/>
          <w:sz w:val="32"/>
          <w:szCs w:val="32"/>
        </w:rPr>
        <w:t>2013</w:t>
      </w:r>
      <w:r>
        <w:rPr>
          <w:rFonts w:ascii="仿宋_GB2312" w:eastAsia="仿宋_GB2312" w:hAnsi="仿宋_GB2312" w:cs="仿宋_GB2312" w:hint="eastAsia"/>
          <w:sz w:val="32"/>
          <w:szCs w:val="32"/>
        </w:rPr>
        <w:t>年成功争创省示范性中等职业学校，</w:t>
      </w:r>
      <w:r>
        <w:rPr>
          <w:rFonts w:ascii="仿宋_GB2312" w:eastAsia="仿宋_GB2312" w:hAnsi="仿宋_GB2312" w:cs="仿宋_GB2312" w:hint="eastAsia"/>
          <w:sz w:val="32"/>
          <w:szCs w:val="32"/>
        </w:rPr>
        <w:t>2016</w:t>
      </w:r>
      <w:r>
        <w:rPr>
          <w:rFonts w:ascii="仿宋_GB2312" w:eastAsia="仿宋_GB2312" w:hAnsi="仿宋_GB2312" w:cs="仿宋_GB2312" w:hint="eastAsia"/>
          <w:sz w:val="32"/>
          <w:szCs w:val="32"/>
        </w:rPr>
        <w:t>年立项省卓越中等职业学校建设单位。自立项以来，全县上下高度重视，迅速成立了项目建设领导小组和项目建设办公室，把职业教育发展建设纳入县经济和社会发展的总体规划，列入政府工作的重要议程和重点规划项目，建立了职业教育工作联席会议制度，严格按照《湖南省卓越职业院校建设项目实施案》的要求，对照《湖南省卓越中等职业学校建设项目任务书》的指标</w:t>
      </w:r>
      <w:r>
        <w:rPr>
          <w:rFonts w:ascii="仿宋_GB2312" w:eastAsia="仿宋_GB2312" w:hAnsi="仿宋_GB2312" w:cs="仿宋_GB2312" w:hint="eastAsia"/>
          <w:sz w:val="32"/>
          <w:szCs w:val="32"/>
        </w:rPr>
        <w:t>，扎实有效推进项目建设，取得了明显成效。截止</w:t>
      </w:r>
      <w:r>
        <w:rPr>
          <w:rFonts w:ascii="仿宋_GB2312" w:eastAsia="仿宋_GB2312" w:hAnsi="仿宋_GB2312" w:cs="仿宋_GB2312" w:hint="eastAsia"/>
          <w:sz w:val="32"/>
          <w:szCs w:val="32"/>
        </w:rPr>
        <w:t>2021</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月份，项目建设共投入</w:t>
      </w:r>
      <w:r>
        <w:rPr>
          <w:rFonts w:ascii="仿宋_GB2312" w:eastAsia="仿宋_GB2312" w:hAnsi="仿宋_GB2312" w:cs="仿宋_GB2312" w:hint="eastAsia"/>
          <w:sz w:val="32"/>
          <w:szCs w:val="32"/>
        </w:rPr>
        <w:t>1866</w:t>
      </w:r>
      <w:r>
        <w:rPr>
          <w:rFonts w:ascii="仿宋_GB2312" w:eastAsia="仿宋_GB2312" w:hAnsi="仿宋_GB2312" w:cs="仿宋_GB2312" w:hint="eastAsia"/>
          <w:sz w:val="32"/>
          <w:szCs w:val="32"/>
        </w:rPr>
        <w:t>万元，占预算投入的</w:t>
      </w:r>
      <w:r>
        <w:rPr>
          <w:rFonts w:ascii="仿宋_GB2312" w:eastAsia="仿宋_GB2312" w:hAnsi="仿宋_GB2312" w:cs="仿宋_GB2312" w:hint="eastAsia"/>
          <w:sz w:val="32"/>
          <w:szCs w:val="32"/>
        </w:rPr>
        <w:t>68.93%</w:t>
      </w:r>
      <w:r>
        <w:rPr>
          <w:rFonts w:ascii="仿宋_GB2312" w:eastAsia="仿宋_GB2312" w:hAnsi="仿宋_GB2312" w:cs="仿宋_GB2312" w:hint="eastAsia"/>
          <w:sz w:val="32"/>
          <w:szCs w:val="32"/>
        </w:rPr>
        <w:t>。其中地方财政投入</w:t>
      </w:r>
      <w:r>
        <w:rPr>
          <w:rFonts w:ascii="仿宋_GB2312" w:eastAsia="仿宋_GB2312" w:hAnsi="仿宋_GB2312" w:cs="仿宋_GB2312" w:hint="eastAsia"/>
          <w:sz w:val="32"/>
          <w:szCs w:val="32"/>
        </w:rPr>
        <w:t>570</w:t>
      </w:r>
      <w:r>
        <w:rPr>
          <w:rFonts w:ascii="仿宋_GB2312" w:eastAsia="仿宋_GB2312" w:hAnsi="仿宋_GB2312" w:cs="仿宋_GB2312" w:hint="eastAsia"/>
          <w:sz w:val="32"/>
          <w:szCs w:val="32"/>
        </w:rPr>
        <w:t>万元、举办者投入</w:t>
      </w:r>
      <w:r>
        <w:rPr>
          <w:rFonts w:ascii="仿宋_GB2312" w:eastAsia="仿宋_GB2312" w:hAnsi="仿宋_GB2312" w:cs="仿宋_GB2312" w:hint="eastAsia"/>
          <w:sz w:val="32"/>
          <w:szCs w:val="32"/>
        </w:rPr>
        <w:t>760</w:t>
      </w:r>
      <w:r>
        <w:rPr>
          <w:rFonts w:ascii="仿宋_GB2312" w:eastAsia="仿宋_GB2312" w:hAnsi="仿宋_GB2312" w:cs="仿宋_GB2312" w:hint="eastAsia"/>
          <w:sz w:val="32"/>
          <w:szCs w:val="32"/>
        </w:rPr>
        <w:t>万元、行业企业投入</w:t>
      </w:r>
      <w:r>
        <w:rPr>
          <w:rFonts w:ascii="仿宋_GB2312" w:eastAsia="仿宋_GB2312" w:hAnsi="仿宋_GB2312" w:cs="仿宋_GB2312" w:hint="eastAsia"/>
          <w:sz w:val="32"/>
          <w:szCs w:val="32"/>
        </w:rPr>
        <w:t>200</w:t>
      </w:r>
      <w:r>
        <w:rPr>
          <w:rFonts w:ascii="仿宋_GB2312" w:eastAsia="仿宋_GB2312" w:hAnsi="仿宋_GB2312" w:cs="仿宋_GB2312" w:hint="eastAsia"/>
          <w:sz w:val="32"/>
          <w:szCs w:val="32"/>
        </w:rPr>
        <w:t>万元、其他投入</w:t>
      </w:r>
      <w:r>
        <w:rPr>
          <w:rFonts w:ascii="仿宋_GB2312" w:eastAsia="仿宋_GB2312" w:hAnsi="仿宋_GB2312" w:cs="仿宋_GB2312" w:hint="eastAsia"/>
          <w:sz w:val="32"/>
          <w:szCs w:val="32"/>
        </w:rPr>
        <w:t>336</w:t>
      </w:r>
      <w:r>
        <w:rPr>
          <w:rFonts w:ascii="仿宋_GB2312" w:eastAsia="仿宋_GB2312" w:hAnsi="仿宋_GB2312" w:cs="仿宋_GB2312" w:hint="eastAsia"/>
          <w:sz w:val="32"/>
          <w:szCs w:val="32"/>
        </w:rPr>
        <w:t>万元。项目建设共支出</w:t>
      </w:r>
      <w:r>
        <w:rPr>
          <w:rFonts w:ascii="仿宋_GB2312" w:eastAsia="仿宋_GB2312" w:hAnsi="仿宋_GB2312" w:cs="仿宋_GB2312" w:hint="eastAsia"/>
          <w:sz w:val="32"/>
          <w:szCs w:val="32"/>
        </w:rPr>
        <w:t>1696</w:t>
      </w:r>
      <w:r>
        <w:rPr>
          <w:rFonts w:ascii="仿宋_GB2312" w:eastAsia="仿宋_GB2312" w:hAnsi="仿宋_GB2312" w:cs="仿宋_GB2312" w:hint="eastAsia"/>
          <w:sz w:val="32"/>
          <w:szCs w:val="32"/>
        </w:rPr>
        <w:t>万元，占实际到位资金的</w:t>
      </w:r>
      <w:r>
        <w:rPr>
          <w:rFonts w:ascii="仿宋_GB2312" w:eastAsia="仿宋_GB2312" w:hAnsi="仿宋_GB2312" w:cs="仿宋_GB2312" w:hint="eastAsia"/>
          <w:sz w:val="32"/>
          <w:szCs w:val="32"/>
        </w:rPr>
        <w:t>90.89%</w:t>
      </w:r>
      <w:r>
        <w:rPr>
          <w:rFonts w:ascii="仿宋_GB2312" w:eastAsia="仿宋_GB2312" w:hAnsi="仿宋_GB2312" w:cs="仿宋_GB2312" w:hint="eastAsia"/>
          <w:sz w:val="32"/>
          <w:szCs w:val="32"/>
        </w:rPr>
        <w:t>。其中现代畜牧养殖专业群支出</w:t>
      </w:r>
      <w:r>
        <w:rPr>
          <w:rFonts w:ascii="仿宋_GB2312" w:eastAsia="仿宋_GB2312" w:hAnsi="仿宋_GB2312" w:cs="仿宋_GB2312" w:hint="eastAsia"/>
          <w:sz w:val="32"/>
          <w:szCs w:val="32"/>
        </w:rPr>
        <w:t>230</w:t>
      </w:r>
      <w:r>
        <w:rPr>
          <w:rFonts w:ascii="仿宋_GB2312" w:eastAsia="仿宋_GB2312" w:hAnsi="仿宋_GB2312" w:cs="仿宋_GB2312" w:hint="eastAsia"/>
          <w:sz w:val="32"/>
          <w:szCs w:val="32"/>
        </w:rPr>
        <w:t>万元、加工制造群支出</w:t>
      </w:r>
      <w:r>
        <w:rPr>
          <w:rFonts w:ascii="仿宋_GB2312" w:eastAsia="仿宋_GB2312" w:hAnsi="仿宋_GB2312" w:cs="仿宋_GB2312" w:hint="eastAsia"/>
          <w:sz w:val="32"/>
          <w:szCs w:val="32"/>
        </w:rPr>
        <w:t>860</w:t>
      </w:r>
      <w:r>
        <w:rPr>
          <w:rFonts w:ascii="仿宋_GB2312" w:eastAsia="仿宋_GB2312" w:hAnsi="仿宋_GB2312" w:cs="仿宋_GB2312" w:hint="eastAsia"/>
          <w:sz w:val="32"/>
          <w:szCs w:val="32"/>
        </w:rPr>
        <w:t>万元、教师队伍建设支出</w:t>
      </w:r>
      <w:r>
        <w:rPr>
          <w:rFonts w:ascii="仿宋_GB2312" w:eastAsia="仿宋_GB2312" w:hAnsi="仿宋_GB2312" w:cs="仿宋_GB2312" w:hint="eastAsia"/>
          <w:sz w:val="32"/>
          <w:szCs w:val="32"/>
        </w:rPr>
        <w:t>280</w:t>
      </w:r>
      <w:r>
        <w:rPr>
          <w:rFonts w:ascii="仿宋_GB2312" w:eastAsia="仿宋_GB2312" w:hAnsi="仿宋_GB2312" w:cs="仿宋_GB2312" w:hint="eastAsia"/>
          <w:sz w:val="32"/>
          <w:szCs w:val="32"/>
        </w:rPr>
        <w:t>万元、治理能力建设支出</w:t>
      </w:r>
      <w:r>
        <w:rPr>
          <w:rFonts w:ascii="仿宋_GB2312" w:eastAsia="仿宋_GB2312" w:hAnsi="仿宋_GB2312" w:cs="仿宋_GB2312" w:hint="eastAsia"/>
          <w:sz w:val="32"/>
          <w:szCs w:val="32"/>
        </w:rPr>
        <w:t>100</w:t>
      </w:r>
      <w:r>
        <w:rPr>
          <w:rFonts w:ascii="仿宋_GB2312" w:eastAsia="仿宋_GB2312" w:hAnsi="仿宋_GB2312" w:cs="仿宋_GB2312" w:hint="eastAsia"/>
          <w:sz w:val="32"/>
          <w:szCs w:val="32"/>
        </w:rPr>
        <w:t>万</w:t>
      </w:r>
      <w:r>
        <w:rPr>
          <w:rFonts w:ascii="仿宋_GB2312" w:eastAsia="仿宋_GB2312" w:hAnsi="仿宋_GB2312" w:cs="仿宋_GB2312" w:hint="eastAsia"/>
          <w:sz w:val="32"/>
          <w:szCs w:val="32"/>
        </w:rPr>
        <w:lastRenderedPageBreak/>
        <w:t>元、特色项目支出</w:t>
      </w:r>
      <w:r>
        <w:rPr>
          <w:rFonts w:ascii="仿宋_GB2312" w:eastAsia="仿宋_GB2312" w:hAnsi="仿宋_GB2312" w:cs="仿宋_GB2312" w:hint="eastAsia"/>
          <w:sz w:val="32"/>
          <w:szCs w:val="32"/>
        </w:rPr>
        <w:t>185</w:t>
      </w:r>
      <w:r>
        <w:rPr>
          <w:rFonts w:ascii="仿宋_GB2312" w:eastAsia="仿宋_GB2312" w:hAnsi="仿宋_GB2312" w:cs="仿宋_GB2312" w:hint="eastAsia"/>
          <w:sz w:val="32"/>
          <w:szCs w:val="32"/>
        </w:rPr>
        <w:t>万元、科研支出</w:t>
      </w:r>
      <w:r>
        <w:rPr>
          <w:rFonts w:ascii="仿宋_GB2312" w:eastAsia="仿宋_GB2312" w:hAnsi="仿宋_GB2312" w:cs="仿宋_GB2312" w:hint="eastAsia"/>
          <w:sz w:val="32"/>
          <w:szCs w:val="32"/>
        </w:rPr>
        <w:t>41</w:t>
      </w:r>
      <w:r>
        <w:rPr>
          <w:rFonts w:ascii="仿宋_GB2312" w:eastAsia="仿宋_GB2312" w:hAnsi="仿宋_GB2312" w:cs="仿宋_GB2312" w:hint="eastAsia"/>
          <w:sz w:val="32"/>
          <w:szCs w:val="32"/>
        </w:rPr>
        <w:t>万元。</w:t>
      </w:r>
    </w:p>
    <w:p w:rsidR="0074451A" w:rsidRDefault="00172AEF">
      <w:pPr>
        <w:spacing w:line="680" w:lineRule="exact"/>
        <w:ind w:firstLineChars="200" w:firstLine="640"/>
        <w:rPr>
          <w:rFonts w:ascii="仿宋_GB2312" w:eastAsia="仿宋_GB2312" w:hAnsi="仿宋_GB2312" w:cs="仿宋_GB2312"/>
          <w:b/>
          <w:spacing w:val="-2"/>
          <w:sz w:val="32"/>
          <w:szCs w:val="32"/>
        </w:rPr>
      </w:pPr>
      <w:r>
        <w:rPr>
          <w:rFonts w:ascii="仿宋_GB2312" w:eastAsia="仿宋_GB2312" w:hAnsi="仿宋_GB2312" w:cs="仿宋_GB2312" w:hint="eastAsia"/>
          <w:sz w:val="32"/>
          <w:szCs w:val="32"/>
        </w:rPr>
        <w:t>自卓越校建设开展以来，学校内涵建设迈上新台阶，有力推进了现代畜牧养殖和加工制造群</w:t>
      </w:r>
      <w:r>
        <w:rPr>
          <w:rFonts w:ascii="仿宋_GB2312" w:eastAsia="仿宋_GB2312" w:hAnsi="仿宋_GB2312" w:cs="仿宋_GB2312" w:hint="eastAsia"/>
          <w:sz w:val="32"/>
          <w:szCs w:val="32"/>
        </w:rPr>
        <w:t>专业群的建设，专业结构更加科学合理，有效服务县域经济发展。创新了教师管理机制，提升了教师整体素质，强化了专业教学团队建设，师资结构更加优化合理，有力推动教育教学质量的提高。学校管理不断规范高效，形成了“制度管人，章程治校”的管理机制，完善了“依法办学，多元管理”的运行模式，打造了“多方参与，共同协商”的治理团队，健全了“三位一体，民主开放”的监督体系，创新了一系列运行机制，改革了一些关键领域，全面提升了治理能力。</w:t>
      </w:r>
    </w:p>
    <w:p w:rsidR="0074451A" w:rsidRDefault="00172AEF">
      <w:pPr>
        <w:spacing w:line="680" w:lineRule="exact"/>
        <w:ind w:firstLineChars="200" w:firstLine="640"/>
        <w:jc w:val="both"/>
        <w:rPr>
          <w:rFonts w:ascii="Times New Roman" w:eastAsia="黑体" w:hAnsi="Times New Roman" w:cs="Times New Roman"/>
          <w:sz w:val="32"/>
          <w:szCs w:val="32"/>
        </w:rPr>
      </w:pPr>
      <w:r>
        <w:rPr>
          <w:rFonts w:ascii="Times New Roman" w:eastAsia="黑体" w:hAnsi="Times New Roman" w:cs="Times New Roman" w:hint="eastAsia"/>
          <w:sz w:val="32"/>
          <w:szCs w:val="32"/>
        </w:rPr>
        <w:t>二、主要绩效</w:t>
      </w:r>
    </w:p>
    <w:p w:rsidR="0074451A" w:rsidRDefault="00172AEF">
      <w:pPr>
        <w:spacing w:line="680" w:lineRule="exact"/>
        <w:ind w:firstLine="561"/>
        <w:rPr>
          <w:rFonts w:ascii="仿宋_GB2312" w:eastAsia="仿宋_GB2312" w:hAnsi="仿宋_GB2312" w:cs="仿宋_GB2312"/>
          <w:sz w:val="32"/>
          <w:szCs w:val="32"/>
        </w:rPr>
      </w:pPr>
      <w:r>
        <w:rPr>
          <w:rFonts w:ascii="仿宋_GB2312" w:eastAsia="仿宋_GB2312" w:hAnsi="仿宋_GB2312" w:cs="仿宋_GB2312" w:hint="eastAsia"/>
          <w:sz w:val="32"/>
          <w:szCs w:val="32"/>
        </w:rPr>
        <w:t>对照《湖南省卓越中等职业学校建设项目任务书》的指标要求，相继出台了《重点建设项目</w:t>
      </w:r>
      <w:r>
        <w:rPr>
          <w:rFonts w:ascii="仿宋_GB2312" w:eastAsia="仿宋_GB2312" w:hAnsi="仿宋_GB2312" w:cs="仿宋_GB2312" w:hint="eastAsia"/>
          <w:sz w:val="32"/>
          <w:szCs w:val="32"/>
        </w:rPr>
        <w:t>专项资金管理办法》《溆浦县卓越中等职业学校建设项目专项资金管理实施细则》《项目建设督查制度》《项目建设考核制度》等一系列管理文件。严格执行《湖南省卓越职业院校建设计划项目管理暂行办法》有关“资金管理”的规定，切实加强了项目资金预算、审批、支出和决算管理，确保了资金不被截留、挤占和挪用。项目资金开支管理做到了有预算，有台账，有决算。</w:t>
      </w:r>
      <w:r>
        <w:rPr>
          <w:rFonts w:ascii="仿宋_GB2312" w:eastAsia="仿宋_GB2312" w:hAnsi="仿宋_GB2312" w:cs="仿宋_GB2312" w:hint="eastAsia"/>
          <w:sz w:val="32"/>
          <w:szCs w:val="32"/>
        </w:rPr>
        <w:lastRenderedPageBreak/>
        <w:t>截止到目前，项目建设绩效明显，达到了预期目标。具体绩效情况如下。</w:t>
      </w:r>
    </w:p>
    <w:p w:rsidR="0074451A" w:rsidRDefault="00172AEF">
      <w:pPr>
        <w:spacing w:line="680" w:lineRule="exact"/>
        <w:ind w:firstLine="561"/>
        <w:rPr>
          <w:rFonts w:ascii="Times New Roman" w:eastAsia="仿宋" w:hAnsi="Times New Roman" w:cs="Times New Roman"/>
          <w:b/>
          <w:sz w:val="32"/>
          <w:szCs w:val="32"/>
        </w:rPr>
      </w:pPr>
      <w:r>
        <w:rPr>
          <w:rFonts w:ascii="Times New Roman" w:eastAsia="仿宋" w:hAnsi="Times New Roman" w:cs="Times New Roman" w:hint="eastAsia"/>
          <w:b/>
          <w:sz w:val="32"/>
          <w:szCs w:val="32"/>
        </w:rPr>
        <w:t>(</w:t>
      </w:r>
      <w:r>
        <w:rPr>
          <w:rFonts w:ascii="Times New Roman" w:eastAsia="仿宋" w:hAnsi="Times New Roman" w:cs="Times New Roman" w:hint="eastAsia"/>
          <w:b/>
          <w:sz w:val="32"/>
          <w:szCs w:val="32"/>
        </w:rPr>
        <w:t>一</w:t>
      </w:r>
      <w:r>
        <w:rPr>
          <w:rFonts w:ascii="Times New Roman" w:eastAsia="仿宋" w:hAnsi="Times New Roman" w:cs="Times New Roman" w:hint="eastAsia"/>
          <w:b/>
          <w:sz w:val="32"/>
          <w:szCs w:val="32"/>
        </w:rPr>
        <w:t>)</w:t>
      </w:r>
      <w:r>
        <w:rPr>
          <w:rFonts w:ascii="Times New Roman" w:eastAsia="仿宋" w:hAnsi="Times New Roman" w:cs="Times New Roman" w:hint="eastAsia"/>
          <w:b/>
          <w:sz w:val="32"/>
          <w:szCs w:val="32"/>
        </w:rPr>
        <w:t>、现代畜牧养殖专业群</w:t>
      </w:r>
    </w:p>
    <w:p w:rsidR="0074451A" w:rsidRDefault="00172AEF">
      <w:pPr>
        <w:spacing w:line="680" w:lineRule="exact"/>
        <w:ind w:leftChars="50" w:left="110" w:firstLineChars="150" w:firstLine="482"/>
        <w:rPr>
          <w:rFonts w:ascii="仿宋_GB2312" w:eastAsia="仿宋_GB2312" w:hAnsi="仿宋_GB2312" w:cs="仿宋_GB2312"/>
          <w:sz w:val="32"/>
          <w:szCs w:val="32"/>
        </w:rPr>
      </w:pPr>
      <w:r>
        <w:rPr>
          <w:rFonts w:ascii="仿宋_GB2312" w:eastAsia="仿宋_GB2312" w:hAnsi="仿宋_GB2312" w:cs="仿宋_GB2312" w:hint="eastAsia"/>
          <w:b/>
          <w:sz w:val="32"/>
          <w:szCs w:val="32"/>
        </w:rPr>
        <w:t>1</w:t>
      </w:r>
      <w:r>
        <w:rPr>
          <w:rFonts w:ascii="仿宋_GB2312" w:eastAsia="仿宋_GB2312" w:hAnsi="仿宋_GB2312" w:cs="仿宋_GB2312" w:hint="eastAsia"/>
          <w:b/>
          <w:sz w:val="32"/>
          <w:szCs w:val="32"/>
        </w:rPr>
        <w:t>、形成了以校企合作为重点的专业群运行机制。</w:t>
      </w:r>
      <w:r>
        <w:rPr>
          <w:rFonts w:ascii="仿宋_GB2312" w:eastAsia="仿宋_GB2312" w:hAnsi="仿宋_GB2312" w:cs="仿宋_GB2312" w:hint="eastAsia"/>
          <w:sz w:val="32"/>
          <w:szCs w:val="32"/>
        </w:rPr>
        <w:t>与湖南大康牧业合作，制定了校企合作“共建共</w:t>
      </w:r>
      <w:r>
        <w:rPr>
          <w:rFonts w:ascii="仿宋_GB2312" w:eastAsia="仿宋_GB2312" w:hAnsi="仿宋_GB2312" w:cs="仿宋_GB2312" w:hint="eastAsia"/>
          <w:sz w:val="32"/>
          <w:szCs w:val="32"/>
        </w:rPr>
        <w:t>享、协同发展的”专业群运行机制。新开设了特种动物养殖专业，组织畜牧兽医专业教师与湖南大康牧业畜牧师共同开发了《生猪生产》《生猪疾病防治》实用课程，共同制定了《生猪繁殖员岗位职业标准》。</w:t>
      </w:r>
    </w:p>
    <w:p w:rsidR="0074451A" w:rsidRDefault="00172AEF">
      <w:pPr>
        <w:spacing w:line="680" w:lineRule="exact"/>
        <w:ind w:leftChars="50" w:left="110" w:firstLineChars="150" w:firstLine="482"/>
        <w:rPr>
          <w:rFonts w:ascii="仿宋_GB2312" w:eastAsia="仿宋_GB2312" w:hAnsi="仿宋_GB2312" w:cs="仿宋_GB2312"/>
          <w:b/>
          <w:sz w:val="32"/>
          <w:szCs w:val="32"/>
        </w:rPr>
      </w:pPr>
      <w:r>
        <w:rPr>
          <w:rFonts w:ascii="仿宋_GB2312" w:eastAsia="仿宋_GB2312" w:hAnsi="仿宋_GB2312" w:cs="仿宋_GB2312" w:hint="eastAsia"/>
          <w:b/>
          <w:sz w:val="32"/>
          <w:szCs w:val="32"/>
        </w:rPr>
        <w:t>2</w:t>
      </w:r>
      <w:r>
        <w:rPr>
          <w:rFonts w:ascii="仿宋_GB2312" w:eastAsia="仿宋_GB2312" w:hAnsi="仿宋_GB2312" w:cs="仿宋_GB2312" w:hint="eastAsia"/>
          <w:b/>
          <w:sz w:val="32"/>
          <w:szCs w:val="32"/>
        </w:rPr>
        <w:t>、形成了订单主导的“专业＋基地”的人才培养模式。</w:t>
      </w:r>
    </w:p>
    <w:p w:rsidR="0074451A" w:rsidRDefault="00172AEF">
      <w:pPr>
        <w:spacing w:line="680" w:lineRule="exact"/>
        <w:ind w:leftChars="50" w:left="110"/>
        <w:rPr>
          <w:rFonts w:ascii="仿宋_GB2312" w:eastAsia="仿宋_GB2312" w:hAnsi="仿宋_GB2312" w:cs="仿宋_GB2312"/>
          <w:sz w:val="32"/>
          <w:szCs w:val="32"/>
        </w:rPr>
      </w:pPr>
      <w:r>
        <w:rPr>
          <w:rFonts w:ascii="仿宋_GB2312" w:eastAsia="仿宋_GB2312" w:hAnsi="仿宋_GB2312" w:cs="仿宋_GB2312" w:hint="eastAsia"/>
          <w:sz w:val="32"/>
          <w:szCs w:val="32"/>
        </w:rPr>
        <w:t>确定了群内各专业人才培养规格，建立订单主导的“专业＋基地”的人才模式改革。与大康牧业开展了动物繁殖、动物营养与饲料加工的订单式培养。</w:t>
      </w:r>
    </w:p>
    <w:p w:rsidR="0074451A" w:rsidRDefault="00172AEF">
      <w:pPr>
        <w:spacing w:line="68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sz w:val="32"/>
          <w:szCs w:val="32"/>
        </w:rPr>
        <w:t>3</w:t>
      </w:r>
      <w:r>
        <w:rPr>
          <w:rFonts w:ascii="仿宋_GB2312" w:eastAsia="仿宋_GB2312" w:hAnsi="仿宋_GB2312" w:cs="仿宋_GB2312" w:hint="eastAsia"/>
          <w:b/>
          <w:sz w:val="32"/>
          <w:szCs w:val="32"/>
        </w:rPr>
        <w:t>、构建了“德技并重、能力本位”的模块式专业群课程体系。</w:t>
      </w:r>
      <w:r>
        <w:rPr>
          <w:rFonts w:ascii="仿宋_GB2312" w:eastAsia="仿宋_GB2312" w:hAnsi="仿宋_GB2312" w:cs="仿宋_GB2312" w:hint="eastAsia"/>
          <w:sz w:val="32"/>
          <w:szCs w:val="32"/>
        </w:rPr>
        <w:t>开通了中职德育网路课程，制定了“德技并重、能力本位”课程体系的可行性报告，开发了《兽</w:t>
      </w:r>
      <w:r>
        <w:rPr>
          <w:rFonts w:ascii="仿宋_GB2312" w:eastAsia="仿宋_GB2312" w:hAnsi="仿宋_GB2312" w:cs="仿宋_GB2312" w:hint="eastAsia"/>
          <w:sz w:val="32"/>
          <w:szCs w:val="32"/>
        </w:rPr>
        <w:t>医基础》专业核心课程，完善了“两库一平台”专业群数字化教学资源。</w:t>
      </w:r>
    </w:p>
    <w:p w:rsidR="0074451A" w:rsidRDefault="00172AEF">
      <w:pPr>
        <w:spacing w:line="680" w:lineRule="exact"/>
        <w:ind w:firstLine="561"/>
        <w:rPr>
          <w:rFonts w:ascii="仿宋_GB2312" w:eastAsia="仿宋_GB2312" w:hAnsi="仿宋_GB2312" w:cs="仿宋_GB2312"/>
          <w:sz w:val="32"/>
          <w:szCs w:val="32"/>
        </w:rPr>
      </w:pPr>
      <w:r>
        <w:rPr>
          <w:rFonts w:ascii="仿宋_GB2312" w:eastAsia="仿宋_GB2312" w:hAnsi="仿宋_GB2312" w:cs="仿宋_GB2312" w:hint="eastAsia"/>
          <w:b/>
          <w:sz w:val="32"/>
          <w:szCs w:val="32"/>
        </w:rPr>
        <w:t>4</w:t>
      </w:r>
      <w:r>
        <w:rPr>
          <w:rFonts w:ascii="仿宋_GB2312" w:eastAsia="仿宋_GB2312" w:hAnsi="仿宋_GB2312" w:cs="仿宋_GB2312" w:hint="eastAsia"/>
          <w:b/>
          <w:sz w:val="32"/>
          <w:szCs w:val="32"/>
        </w:rPr>
        <w:t>、建成了产教融合实训楼工程。</w:t>
      </w:r>
      <w:r>
        <w:rPr>
          <w:rFonts w:ascii="仿宋_GB2312" w:eastAsia="仿宋_GB2312" w:hAnsi="仿宋_GB2312" w:cs="仿宋_GB2312" w:hint="eastAsia"/>
          <w:sz w:val="32"/>
          <w:szCs w:val="32"/>
        </w:rPr>
        <w:t>总投资</w:t>
      </w:r>
      <w:r>
        <w:rPr>
          <w:rFonts w:ascii="仿宋_GB2312" w:eastAsia="仿宋_GB2312" w:hAnsi="仿宋_GB2312" w:cs="仿宋_GB2312" w:hint="eastAsia"/>
          <w:sz w:val="32"/>
          <w:szCs w:val="32"/>
        </w:rPr>
        <w:t>3018</w:t>
      </w:r>
      <w:r>
        <w:rPr>
          <w:rFonts w:ascii="仿宋_GB2312" w:eastAsia="仿宋_GB2312" w:hAnsi="仿宋_GB2312" w:cs="仿宋_GB2312" w:hint="eastAsia"/>
          <w:sz w:val="32"/>
          <w:szCs w:val="32"/>
        </w:rPr>
        <w:t>万元，其中中央预算内投资</w:t>
      </w:r>
      <w:r>
        <w:rPr>
          <w:rFonts w:ascii="仿宋_GB2312" w:eastAsia="仿宋_GB2312" w:hAnsi="仿宋_GB2312" w:cs="仿宋_GB2312" w:hint="eastAsia"/>
          <w:sz w:val="32"/>
          <w:szCs w:val="32"/>
        </w:rPr>
        <w:t>1500</w:t>
      </w:r>
      <w:r>
        <w:rPr>
          <w:rFonts w:ascii="仿宋_GB2312" w:eastAsia="仿宋_GB2312" w:hAnsi="仿宋_GB2312" w:cs="仿宋_GB2312" w:hint="eastAsia"/>
          <w:sz w:val="32"/>
          <w:szCs w:val="32"/>
        </w:rPr>
        <w:t>万元，总建筑面积</w:t>
      </w:r>
      <w:r>
        <w:rPr>
          <w:rFonts w:ascii="仿宋_GB2312" w:eastAsia="仿宋_GB2312" w:hAnsi="仿宋_GB2312" w:cs="仿宋_GB2312" w:hint="eastAsia"/>
          <w:sz w:val="32"/>
          <w:szCs w:val="32"/>
        </w:rPr>
        <w:t>16695</w:t>
      </w:r>
      <w:r>
        <w:rPr>
          <w:rFonts w:ascii="仿宋_GB2312" w:eastAsia="仿宋_GB2312" w:hAnsi="仿宋_GB2312" w:cs="仿宋_GB2312" w:hint="eastAsia"/>
          <w:sz w:val="32"/>
          <w:szCs w:val="32"/>
        </w:rPr>
        <w:t>平方米，现已完成外墙漆、内墙抹灰、门窗施工，今年</w:t>
      </w:r>
      <w:r>
        <w:rPr>
          <w:rFonts w:ascii="仿宋_GB2312" w:eastAsia="仿宋_GB2312" w:hAnsi="仿宋_GB2312" w:cs="仿宋_GB2312" w:hint="eastAsia"/>
          <w:sz w:val="32"/>
          <w:szCs w:val="32"/>
        </w:rPr>
        <w:t>9</w:t>
      </w:r>
      <w:r>
        <w:rPr>
          <w:rFonts w:ascii="仿宋_GB2312" w:eastAsia="仿宋_GB2312" w:hAnsi="仿宋_GB2312" w:cs="仿宋_GB2312" w:hint="eastAsia"/>
          <w:sz w:val="32"/>
          <w:szCs w:val="32"/>
        </w:rPr>
        <w:t>月份正式投入使</w:t>
      </w:r>
      <w:r>
        <w:rPr>
          <w:rFonts w:ascii="仿宋_GB2312" w:eastAsia="仿宋_GB2312" w:hAnsi="仿宋_GB2312" w:cs="仿宋_GB2312" w:hint="eastAsia"/>
          <w:sz w:val="32"/>
          <w:szCs w:val="32"/>
        </w:rPr>
        <w:lastRenderedPageBreak/>
        <w:t>用。</w:t>
      </w:r>
    </w:p>
    <w:p w:rsidR="0074451A" w:rsidRDefault="00172AEF">
      <w:pPr>
        <w:spacing w:line="680" w:lineRule="exact"/>
        <w:ind w:firstLine="561"/>
        <w:rPr>
          <w:rFonts w:ascii="仿宋_GB2312" w:eastAsia="仿宋_GB2312" w:hAnsi="仿宋_GB2312" w:cs="仿宋_GB2312"/>
          <w:b/>
          <w:sz w:val="32"/>
          <w:szCs w:val="32"/>
        </w:rPr>
      </w:pPr>
      <w:r>
        <w:rPr>
          <w:rFonts w:ascii="仿宋_GB2312" w:eastAsia="仿宋_GB2312" w:hAnsi="仿宋_GB2312" w:cs="仿宋_GB2312" w:hint="eastAsia"/>
          <w:b/>
          <w:sz w:val="32"/>
          <w:szCs w:val="32"/>
        </w:rPr>
        <w:t>(</w:t>
      </w:r>
      <w:r>
        <w:rPr>
          <w:rFonts w:ascii="仿宋_GB2312" w:eastAsia="仿宋_GB2312" w:hAnsi="仿宋_GB2312" w:cs="仿宋_GB2312" w:hint="eastAsia"/>
          <w:b/>
          <w:sz w:val="32"/>
          <w:szCs w:val="32"/>
        </w:rPr>
        <w:t>二</w:t>
      </w:r>
      <w:r>
        <w:rPr>
          <w:rFonts w:ascii="仿宋_GB2312" w:eastAsia="仿宋_GB2312" w:hAnsi="仿宋_GB2312" w:cs="仿宋_GB2312" w:hint="eastAsia"/>
          <w:b/>
          <w:sz w:val="32"/>
          <w:szCs w:val="32"/>
        </w:rPr>
        <w:t>)</w:t>
      </w:r>
      <w:r>
        <w:rPr>
          <w:rFonts w:ascii="仿宋_GB2312" w:eastAsia="仿宋_GB2312" w:hAnsi="仿宋_GB2312" w:cs="仿宋_GB2312" w:hint="eastAsia"/>
          <w:b/>
          <w:sz w:val="32"/>
          <w:szCs w:val="32"/>
        </w:rPr>
        <w:t>、加工制造专业群</w:t>
      </w:r>
    </w:p>
    <w:p w:rsidR="0074451A" w:rsidRDefault="00172AEF">
      <w:pPr>
        <w:spacing w:line="680" w:lineRule="exact"/>
        <w:ind w:firstLine="561"/>
        <w:rPr>
          <w:rFonts w:ascii="仿宋_GB2312" w:eastAsia="仿宋_GB2312" w:hAnsi="仿宋_GB2312" w:cs="仿宋_GB2312"/>
          <w:sz w:val="32"/>
          <w:szCs w:val="32"/>
        </w:rPr>
      </w:pPr>
      <w:r>
        <w:rPr>
          <w:rFonts w:ascii="仿宋_GB2312" w:eastAsia="仿宋_GB2312" w:hAnsi="仿宋_GB2312" w:cs="仿宋_GB2312" w:hint="eastAsia"/>
          <w:b/>
          <w:sz w:val="32"/>
          <w:szCs w:val="32"/>
        </w:rPr>
        <w:t>1</w:t>
      </w:r>
      <w:r>
        <w:rPr>
          <w:rFonts w:ascii="仿宋_GB2312" w:eastAsia="仿宋_GB2312" w:hAnsi="仿宋_GB2312" w:cs="仿宋_GB2312" w:hint="eastAsia"/>
          <w:b/>
          <w:sz w:val="32"/>
          <w:szCs w:val="32"/>
        </w:rPr>
        <w:t>、形成了“双主体、双交替”的校企合作运行机制。</w:t>
      </w:r>
      <w:r>
        <w:rPr>
          <w:rFonts w:ascii="仿宋_GB2312" w:eastAsia="仿宋_GB2312" w:hAnsi="仿宋_GB2312" w:cs="仿宋_GB2312" w:hint="eastAsia"/>
          <w:sz w:val="32"/>
          <w:szCs w:val="32"/>
        </w:rPr>
        <w:t>构建了“加工制造校企合作联盟”，与湖南湘维公司合作，组建了一个“湘维班”。与县红花园工业园晟鑫电子合作在校内开办加工车间，建立了“厂中校”。</w:t>
      </w:r>
    </w:p>
    <w:p w:rsidR="0074451A" w:rsidRDefault="00172AEF">
      <w:pPr>
        <w:spacing w:line="68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sz w:val="32"/>
          <w:szCs w:val="32"/>
        </w:rPr>
        <w:t>2</w:t>
      </w:r>
      <w:r>
        <w:rPr>
          <w:rFonts w:ascii="仿宋_GB2312" w:eastAsia="仿宋_GB2312" w:hAnsi="仿宋_GB2312" w:cs="仿宋_GB2312" w:hint="eastAsia"/>
          <w:b/>
          <w:sz w:val="32"/>
          <w:szCs w:val="32"/>
        </w:rPr>
        <w:t>、构建了“基础模块</w:t>
      </w:r>
      <w:r>
        <w:rPr>
          <w:rFonts w:ascii="仿宋_GB2312" w:eastAsia="仿宋_GB2312" w:hAnsi="仿宋_GB2312" w:cs="仿宋_GB2312" w:hint="eastAsia"/>
          <w:b/>
          <w:sz w:val="32"/>
          <w:szCs w:val="32"/>
        </w:rPr>
        <w:t>+</w:t>
      </w:r>
      <w:r>
        <w:rPr>
          <w:rFonts w:ascii="仿宋_GB2312" w:eastAsia="仿宋_GB2312" w:hAnsi="仿宋_GB2312" w:cs="仿宋_GB2312" w:hint="eastAsia"/>
          <w:b/>
          <w:sz w:val="32"/>
          <w:szCs w:val="32"/>
        </w:rPr>
        <w:t>特色模块</w:t>
      </w:r>
      <w:r>
        <w:rPr>
          <w:rFonts w:ascii="仿宋_GB2312" w:eastAsia="仿宋_GB2312" w:hAnsi="仿宋_GB2312" w:cs="仿宋_GB2312" w:hint="eastAsia"/>
          <w:b/>
          <w:sz w:val="32"/>
          <w:szCs w:val="32"/>
        </w:rPr>
        <w:t>+</w:t>
      </w:r>
      <w:r>
        <w:rPr>
          <w:rFonts w:ascii="仿宋_GB2312" w:eastAsia="仿宋_GB2312" w:hAnsi="仿宋_GB2312" w:cs="仿宋_GB2312" w:hint="eastAsia"/>
          <w:b/>
          <w:sz w:val="32"/>
          <w:szCs w:val="32"/>
        </w:rPr>
        <w:t>拓展模块”形式的专业群课程体</w:t>
      </w:r>
      <w:r>
        <w:rPr>
          <w:rFonts w:ascii="仿宋_GB2312" w:eastAsia="仿宋_GB2312" w:hAnsi="仿宋_GB2312" w:cs="仿宋_GB2312" w:hint="eastAsia"/>
          <w:b/>
          <w:sz w:val="32"/>
          <w:szCs w:val="32"/>
        </w:rPr>
        <w:t>系。</w:t>
      </w:r>
      <w:r>
        <w:rPr>
          <w:rFonts w:ascii="仿宋_GB2312" w:eastAsia="仿宋_GB2312" w:hAnsi="仿宋_GB2312" w:cs="仿宋_GB2312" w:hint="eastAsia"/>
          <w:sz w:val="32"/>
          <w:szCs w:val="32"/>
        </w:rPr>
        <w:t>完成了《机械识图与制图》《机械常识》《电工基础》《电子技术基础》《数控车加工实训》等</w:t>
      </w:r>
      <w:r>
        <w:rPr>
          <w:rFonts w:ascii="仿宋_GB2312" w:eastAsia="仿宋_GB2312" w:hAnsi="仿宋_GB2312" w:cs="仿宋_GB2312" w:hint="eastAsia"/>
          <w:sz w:val="32"/>
          <w:szCs w:val="32"/>
        </w:rPr>
        <w:t>5</w:t>
      </w:r>
      <w:r>
        <w:rPr>
          <w:rFonts w:ascii="仿宋_GB2312" w:eastAsia="仿宋_GB2312" w:hAnsi="仿宋_GB2312" w:cs="仿宋_GB2312" w:hint="eastAsia"/>
          <w:sz w:val="32"/>
          <w:szCs w:val="32"/>
        </w:rPr>
        <w:t>名优质核心课程建设。</w:t>
      </w:r>
    </w:p>
    <w:p w:rsidR="0074451A" w:rsidRDefault="00172AEF">
      <w:pPr>
        <w:spacing w:line="68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sz w:val="32"/>
          <w:szCs w:val="32"/>
        </w:rPr>
        <w:t>3</w:t>
      </w:r>
      <w:r>
        <w:rPr>
          <w:rFonts w:ascii="仿宋_GB2312" w:eastAsia="仿宋_GB2312" w:hAnsi="仿宋_GB2312" w:cs="仿宋_GB2312" w:hint="eastAsia"/>
          <w:b/>
          <w:sz w:val="32"/>
          <w:szCs w:val="32"/>
        </w:rPr>
        <w:t>、建立了校企共建共享型校外实训基地。</w:t>
      </w:r>
      <w:r>
        <w:rPr>
          <w:rFonts w:ascii="仿宋_GB2312" w:eastAsia="仿宋_GB2312" w:hAnsi="仿宋_GB2312" w:cs="仿宋_GB2312" w:hint="eastAsia"/>
          <w:sz w:val="32"/>
          <w:szCs w:val="32"/>
        </w:rPr>
        <w:t>按照校企合作、共建共享的原则，以校企互利共赢为出发点，以校企人才共育制度化为落脚点，与湖南湘维、湖南华峰等知名加工制造企业深度合作，建立了能满足专业教学要求的实训基地</w:t>
      </w:r>
      <w:r>
        <w:rPr>
          <w:rFonts w:ascii="仿宋_GB2312" w:eastAsia="仿宋_GB2312" w:hAnsi="仿宋_GB2312" w:cs="仿宋_GB2312" w:hint="eastAsia"/>
          <w:sz w:val="32"/>
          <w:szCs w:val="32"/>
        </w:rPr>
        <w:t>5</w:t>
      </w:r>
      <w:r>
        <w:rPr>
          <w:rFonts w:ascii="仿宋_GB2312" w:eastAsia="仿宋_GB2312" w:hAnsi="仿宋_GB2312" w:cs="仿宋_GB2312" w:hint="eastAsia"/>
          <w:sz w:val="32"/>
          <w:szCs w:val="32"/>
        </w:rPr>
        <w:t>个，顶岗实习工位数达到</w:t>
      </w:r>
      <w:r>
        <w:rPr>
          <w:rFonts w:ascii="仿宋_GB2312" w:eastAsia="仿宋_GB2312" w:hAnsi="仿宋_GB2312" w:cs="仿宋_GB2312" w:hint="eastAsia"/>
          <w:sz w:val="32"/>
          <w:szCs w:val="32"/>
        </w:rPr>
        <w:t>1000</w:t>
      </w:r>
      <w:r>
        <w:rPr>
          <w:rFonts w:ascii="仿宋_GB2312" w:eastAsia="仿宋_GB2312" w:hAnsi="仿宋_GB2312" w:cs="仿宋_GB2312" w:hint="eastAsia"/>
          <w:sz w:val="32"/>
          <w:szCs w:val="32"/>
        </w:rPr>
        <w:t>个。</w:t>
      </w:r>
    </w:p>
    <w:p w:rsidR="0074451A" w:rsidRDefault="00172AEF">
      <w:pPr>
        <w:spacing w:line="68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sz w:val="32"/>
          <w:szCs w:val="32"/>
        </w:rPr>
        <w:t>4</w:t>
      </w:r>
      <w:r>
        <w:rPr>
          <w:rFonts w:ascii="仿宋_GB2312" w:eastAsia="仿宋_GB2312" w:hAnsi="仿宋_GB2312" w:cs="仿宋_GB2312" w:hint="eastAsia"/>
          <w:b/>
          <w:sz w:val="32"/>
          <w:szCs w:val="32"/>
        </w:rPr>
        <w:t>、汽车制造与检修专业立项为现代学徒制省级试点项目。</w:t>
      </w:r>
      <w:r>
        <w:rPr>
          <w:rFonts w:ascii="仿宋_GB2312" w:eastAsia="仿宋_GB2312" w:hAnsi="仿宋_GB2312" w:cs="仿宋_GB2312" w:hint="eastAsia"/>
          <w:sz w:val="32"/>
          <w:szCs w:val="32"/>
        </w:rPr>
        <w:t>学校于与长沙一汽汽车有限公司合作开办汽车制造与检修专业现代学徒制试点，首届招收新生</w:t>
      </w:r>
      <w:r>
        <w:rPr>
          <w:rFonts w:ascii="仿宋_GB2312" w:eastAsia="仿宋_GB2312" w:hAnsi="仿宋_GB2312" w:cs="仿宋_GB2312" w:hint="eastAsia"/>
          <w:sz w:val="32"/>
          <w:szCs w:val="32"/>
        </w:rPr>
        <w:t>40</w:t>
      </w:r>
      <w:r>
        <w:rPr>
          <w:rFonts w:ascii="仿宋_GB2312" w:eastAsia="仿宋_GB2312" w:hAnsi="仿宋_GB2312" w:cs="仿宋_GB2312" w:hint="eastAsia"/>
          <w:sz w:val="32"/>
          <w:szCs w:val="32"/>
        </w:rPr>
        <w:t>人，</w:t>
      </w:r>
      <w:r>
        <w:rPr>
          <w:rFonts w:ascii="仿宋_GB2312" w:eastAsia="仿宋_GB2312" w:hAnsi="仿宋_GB2312" w:cs="仿宋_GB2312" w:hint="eastAsia"/>
          <w:sz w:val="32"/>
          <w:szCs w:val="32"/>
        </w:rPr>
        <w:t>2020</w:t>
      </w:r>
      <w:r>
        <w:rPr>
          <w:rFonts w:ascii="仿宋_GB2312" w:eastAsia="仿宋_GB2312" w:hAnsi="仿宋_GB2312" w:cs="仿宋_GB2312" w:hint="eastAsia"/>
          <w:sz w:val="32"/>
          <w:szCs w:val="32"/>
        </w:rPr>
        <w:t>年完成湖</w:t>
      </w:r>
      <w:r>
        <w:rPr>
          <w:rFonts w:ascii="仿宋_GB2312" w:eastAsia="仿宋_GB2312" w:hAnsi="仿宋_GB2312" w:cs="仿宋_GB2312" w:hint="eastAsia"/>
          <w:sz w:val="32"/>
          <w:szCs w:val="32"/>
        </w:rPr>
        <w:t>南省现代学徒制试点项目年检工作。</w:t>
      </w:r>
    </w:p>
    <w:p w:rsidR="0074451A" w:rsidRDefault="00172AEF">
      <w:pPr>
        <w:spacing w:line="680" w:lineRule="exact"/>
        <w:ind w:firstLine="561"/>
        <w:rPr>
          <w:rFonts w:ascii="仿宋_GB2312" w:eastAsia="仿宋_GB2312" w:hAnsi="仿宋_GB2312" w:cs="仿宋_GB2312"/>
          <w:b/>
          <w:sz w:val="32"/>
          <w:szCs w:val="32"/>
        </w:rPr>
      </w:pPr>
      <w:r>
        <w:rPr>
          <w:rFonts w:ascii="仿宋_GB2312" w:eastAsia="仿宋_GB2312" w:hAnsi="仿宋_GB2312" w:cs="仿宋_GB2312" w:hint="eastAsia"/>
          <w:b/>
          <w:sz w:val="32"/>
          <w:szCs w:val="32"/>
        </w:rPr>
        <w:t>(</w:t>
      </w:r>
      <w:r>
        <w:rPr>
          <w:rFonts w:ascii="仿宋_GB2312" w:eastAsia="仿宋_GB2312" w:hAnsi="仿宋_GB2312" w:cs="仿宋_GB2312" w:hint="eastAsia"/>
          <w:b/>
          <w:sz w:val="32"/>
          <w:szCs w:val="32"/>
        </w:rPr>
        <w:t>三</w:t>
      </w:r>
      <w:r>
        <w:rPr>
          <w:rFonts w:ascii="仿宋_GB2312" w:eastAsia="仿宋_GB2312" w:hAnsi="仿宋_GB2312" w:cs="仿宋_GB2312" w:hint="eastAsia"/>
          <w:b/>
          <w:sz w:val="32"/>
          <w:szCs w:val="32"/>
        </w:rPr>
        <w:t>)</w:t>
      </w:r>
      <w:r>
        <w:rPr>
          <w:rFonts w:ascii="仿宋_GB2312" w:eastAsia="仿宋_GB2312" w:hAnsi="仿宋_GB2312" w:cs="仿宋_GB2312" w:hint="eastAsia"/>
          <w:b/>
          <w:sz w:val="32"/>
          <w:szCs w:val="32"/>
        </w:rPr>
        <w:t>、教师队伍建设</w:t>
      </w:r>
    </w:p>
    <w:p w:rsidR="0074451A" w:rsidRDefault="00172AEF">
      <w:pPr>
        <w:spacing w:line="680" w:lineRule="exact"/>
        <w:ind w:firstLine="561"/>
        <w:rPr>
          <w:rFonts w:ascii="仿宋_GB2312" w:eastAsia="仿宋_GB2312" w:hAnsi="仿宋_GB2312" w:cs="仿宋_GB2312"/>
          <w:sz w:val="32"/>
          <w:szCs w:val="32"/>
        </w:rPr>
      </w:pPr>
      <w:r>
        <w:rPr>
          <w:rFonts w:ascii="仿宋_GB2312" w:eastAsia="仿宋_GB2312" w:hAnsi="仿宋_GB2312" w:cs="仿宋_GB2312" w:hint="eastAsia"/>
          <w:b/>
          <w:sz w:val="32"/>
          <w:szCs w:val="32"/>
        </w:rPr>
        <w:lastRenderedPageBreak/>
        <w:t>1</w:t>
      </w:r>
      <w:r>
        <w:rPr>
          <w:rFonts w:ascii="仿宋_GB2312" w:eastAsia="仿宋_GB2312" w:hAnsi="仿宋_GB2312" w:cs="仿宋_GB2312" w:hint="eastAsia"/>
          <w:b/>
          <w:sz w:val="32"/>
          <w:szCs w:val="32"/>
        </w:rPr>
        <w:t>、教师管理机制不断创新。</w:t>
      </w:r>
      <w:r>
        <w:rPr>
          <w:rFonts w:ascii="仿宋_GB2312" w:eastAsia="仿宋_GB2312" w:hAnsi="仿宋_GB2312" w:cs="仿宋_GB2312" w:hint="eastAsia"/>
          <w:sz w:val="32"/>
          <w:szCs w:val="32"/>
        </w:rPr>
        <w:t>先后制定并完善了《人才引进办法》、《工作绩效考核办法》、，《名师大师培养、引进与聘用办法》、《专业群及专业带头人选拔与考核管理办法》、《骨干教师选拔与考核管理办法》、《双师型教师培养方案》、《行业企业兼职教师聘任管理办法》、《教师学历提升奖励办法》和《教师赴企业实践锻炼工作方案》等制度，出台《专任专业教师成长方案及考核细则》，修订《专业技术人员年度考核细则》，使教师管理制度进一步完善，教师主动性、积极性、创造性不断增强。</w:t>
      </w:r>
    </w:p>
    <w:p w:rsidR="0074451A" w:rsidRDefault="00172AEF">
      <w:pPr>
        <w:spacing w:line="68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sz w:val="32"/>
          <w:szCs w:val="32"/>
        </w:rPr>
        <w:t>2</w:t>
      </w:r>
      <w:r>
        <w:rPr>
          <w:rFonts w:ascii="仿宋_GB2312" w:eastAsia="仿宋_GB2312" w:hAnsi="仿宋_GB2312" w:cs="仿宋_GB2312" w:hint="eastAsia"/>
          <w:b/>
          <w:sz w:val="32"/>
          <w:szCs w:val="32"/>
        </w:rPr>
        <w:t>、</w:t>
      </w:r>
      <w:r>
        <w:rPr>
          <w:rFonts w:ascii="仿宋_GB2312" w:eastAsia="仿宋_GB2312" w:hAnsi="仿宋_GB2312" w:cs="仿宋_GB2312" w:hint="eastAsia"/>
          <w:b/>
          <w:sz w:val="32"/>
          <w:szCs w:val="32"/>
        </w:rPr>
        <w:t>教师整体素质不断提升。</w:t>
      </w:r>
      <w:r>
        <w:rPr>
          <w:rFonts w:ascii="仿宋_GB2312" w:eastAsia="仿宋_GB2312" w:hAnsi="仿宋_GB2312" w:cs="仿宋_GB2312" w:hint="eastAsia"/>
          <w:sz w:val="32"/>
          <w:szCs w:val="32"/>
        </w:rPr>
        <w:t>加大专任教师培养培训力度，强化兼职教师队伍建设，现有专任教师</w:t>
      </w:r>
      <w:r>
        <w:rPr>
          <w:rFonts w:ascii="仿宋_GB2312" w:eastAsia="仿宋_GB2312" w:hAnsi="仿宋_GB2312" w:cs="仿宋_GB2312" w:hint="eastAsia"/>
          <w:sz w:val="32"/>
          <w:szCs w:val="32"/>
        </w:rPr>
        <w:t>208</w:t>
      </w:r>
      <w:r>
        <w:rPr>
          <w:rFonts w:ascii="仿宋_GB2312" w:eastAsia="仿宋_GB2312" w:hAnsi="仿宋_GB2312" w:cs="仿宋_GB2312" w:hint="eastAsia"/>
          <w:sz w:val="32"/>
          <w:szCs w:val="32"/>
        </w:rPr>
        <w:t>人，兼职教师</w:t>
      </w:r>
      <w:r>
        <w:rPr>
          <w:rFonts w:ascii="仿宋_GB2312" w:eastAsia="仿宋_GB2312" w:hAnsi="仿宋_GB2312" w:cs="仿宋_GB2312" w:hint="eastAsia"/>
          <w:sz w:val="32"/>
          <w:szCs w:val="32"/>
        </w:rPr>
        <w:t>38</w:t>
      </w:r>
      <w:r>
        <w:rPr>
          <w:rFonts w:ascii="仿宋_GB2312" w:eastAsia="仿宋_GB2312" w:hAnsi="仿宋_GB2312" w:cs="仿宋_GB2312" w:hint="eastAsia"/>
          <w:sz w:val="32"/>
          <w:szCs w:val="32"/>
        </w:rPr>
        <w:t>人，“双师型”教师达</w:t>
      </w:r>
      <w:r>
        <w:rPr>
          <w:rFonts w:ascii="仿宋_GB2312" w:eastAsia="仿宋_GB2312" w:hAnsi="仿宋_GB2312" w:cs="仿宋_GB2312" w:hint="eastAsia"/>
          <w:sz w:val="32"/>
          <w:szCs w:val="32"/>
        </w:rPr>
        <w:t>138</w:t>
      </w:r>
      <w:r>
        <w:rPr>
          <w:rFonts w:ascii="仿宋_GB2312" w:eastAsia="仿宋_GB2312" w:hAnsi="仿宋_GB2312" w:cs="仿宋_GB2312" w:hint="eastAsia"/>
          <w:sz w:val="32"/>
          <w:szCs w:val="32"/>
        </w:rPr>
        <w:t>人。</w:t>
      </w:r>
    </w:p>
    <w:p w:rsidR="0074451A" w:rsidRDefault="00172AEF">
      <w:pPr>
        <w:spacing w:line="68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sz w:val="32"/>
          <w:szCs w:val="32"/>
        </w:rPr>
        <w:t>3</w:t>
      </w:r>
      <w:r>
        <w:rPr>
          <w:rFonts w:ascii="仿宋_GB2312" w:eastAsia="仿宋_GB2312" w:hAnsi="仿宋_GB2312" w:cs="仿宋_GB2312" w:hint="eastAsia"/>
          <w:b/>
          <w:sz w:val="32"/>
          <w:szCs w:val="32"/>
        </w:rPr>
        <w:t>、专业教学团队不断优化。</w:t>
      </w:r>
      <w:r>
        <w:rPr>
          <w:rFonts w:ascii="仿宋_GB2312" w:eastAsia="仿宋_GB2312" w:hAnsi="仿宋_GB2312" w:cs="仿宋_GB2312" w:hint="eastAsia"/>
          <w:sz w:val="32"/>
          <w:szCs w:val="32"/>
        </w:rPr>
        <w:t>以畜牧养殖和加工制造专业群教学团队为重点，以专业群为单位，优化专业教学团队结构，提高专业教学团队双师素质。现有市级名师</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名，</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名专业群带头人，</w:t>
      </w:r>
      <w:r>
        <w:rPr>
          <w:rFonts w:ascii="仿宋_GB2312" w:eastAsia="仿宋_GB2312" w:hAnsi="仿宋_GB2312" w:cs="仿宋_GB2312" w:hint="eastAsia"/>
          <w:sz w:val="32"/>
          <w:szCs w:val="32"/>
        </w:rPr>
        <w:t>18</w:t>
      </w:r>
      <w:r>
        <w:rPr>
          <w:rFonts w:ascii="仿宋_GB2312" w:eastAsia="仿宋_GB2312" w:hAnsi="仿宋_GB2312" w:cs="仿宋_GB2312" w:hint="eastAsia"/>
          <w:sz w:val="32"/>
          <w:szCs w:val="32"/>
        </w:rPr>
        <w:t>名专业带头人，专业群及专业带头人全部通过高级双师认定。</w:t>
      </w:r>
    </w:p>
    <w:p w:rsidR="0074451A" w:rsidRDefault="00172AEF">
      <w:pPr>
        <w:spacing w:line="680" w:lineRule="exact"/>
        <w:ind w:firstLine="561"/>
        <w:rPr>
          <w:rFonts w:ascii="仿宋_GB2312" w:eastAsia="仿宋_GB2312" w:hAnsi="仿宋_GB2312" w:cs="仿宋_GB2312"/>
          <w:b/>
          <w:sz w:val="32"/>
          <w:szCs w:val="32"/>
        </w:rPr>
      </w:pPr>
      <w:r>
        <w:rPr>
          <w:rFonts w:ascii="仿宋_GB2312" w:eastAsia="仿宋_GB2312" w:hAnsi="仿宋_GB2312" w:cs="仿宋_GB2312" w:hint="eastAsia"/>
          <w:b/>
          <w:sz w:val="32"/>
          <w:szCs w:val="32"/>
        </w:rPr>
        <w:t>(</w:t>
      </w:r>
      <w:r>
        <w:rPr>
          <w:rFonts w:ascii="仿宋_GB2312" w:eastAsia="仿宋_GB2312" w:hAnsi="仿宋_GB2312" w:cs="仿宋_GB2312" w:hint="eastAsia"/>
          <w:b/>
          <w:sz w:val="32"/>
          <w:szCs w:val="32"/>
        </w:rPr>
        <w:t>四</w:t>
      </w:r>
      <w:r>
        <w:rPr>
          <w:rFonts w:ascii="仿宋_GB2312" w:eastAsia="仿宋_GB2312" w:hAnsi="仿宋_GB2312" w:cs="仿宋_GB2312" w:hint="eastAsia"/>
          <w:b/>
          <w:sz w:val="32"/>
          <w:szCs w:val="32"/>
        </w:rPr>
        <w:t>)</w:t>
      </w:r>
      <w:r>
        <w:rPr>
          <w:rFonts w:ascii="仿宋_GB2312" w:eastAsia="仿宋_GB2312" w:hAnsi="仿宋_GB2312" w:cs="仿宋_GB2312" w:hint="eastAsia"/>
          <w:b/>
          <w:sz w:val="32"/>
          <w:szCs w:val="32"/>
        </w:rPr>
        <w:t>、治理能力建设</w:t>
      </w:r>
    </w:p>
    <w:p w:rsidR="0074451A" w:rsidRDefault="00172AEF">
      <w:pPr>
        <w:adjustRightInd w:val="0"/>
        <w:spacing w:line="680" w:lineRule="exact"/>
        <w:ind w:firstLineChars="149" w:firstLine="479"/>
        <w:rPr>
          <w:rFonts w:ascii="仿宋_GB2312" w:eastAsia="仿宋_GB2312" w:hAnsi="仿宋_GB2312" w:cs="仿宋_GB2312"/>
          <w:sz w:val="32"/>
          <w:szCs w:val="32"/>
        </w:rPr>
      </w:pPr>
      <w:r>
        <w:rPr>
          <w:rFonts w:ascii="仿宋_GB2312" w:eastAsia="仿宋_GB2312" w:hAnsi="仿宋_GB2312" w:cs="仿宋_GB2312" w:hint="eastAsia"/>
          <w:b/>
          <w:sz w:val="32"/>
          <w:szCs w:val="32"/>
        </w:rPr>
        <w:t>1</w:t>
      </w:r>
      <w:r>
        <w:rPr>
          <w:rFonts w:ascii="仿宋_GB2312" w:eastAsia="仿宋_GB2312" w:hAnsi="仿宋_GB2312" w:cs="仿宋_GB2312" w:hint="eastAsia"/>
          <w:b/>
          <w:sz w:val="32"/>
          <w:szCs w:val="32"/>
        </w:rPr>
        <w:t>、治理结构进一步完善。</w:t>
      </w:r>
      <w:r>
        <w:rPr>
          <w:rFonts w:ascii="仿宋_GB2312" w:eastAsia="仿宋_GB2312" w:hAnsi="仿宋_GB2312" w:cs="仿宋_GB2312" w:hint="eastAsia"/>
          <w:sz w:val="32"/>
          <w:szCs w:val="32"/>
        </w:rPr>
        <w:t>制定了《溆浦县职业中等专业学校章程》，坚持按章办事。强化党的建设，学校党委下设</w:t>
      </w:r>
      <w:r>
        <w:rPr>
          <w:rFonts w:ascii="仿宋_GB2312" w:eastAsia="仿宋_GB2312" w:hAnsi="仿宋_GB2312" w:cs="仿宋_GB2312" w:hint="eastAsia"/>
          <w:sz w:val="32"/>
          <w:szCs w:val="32"/>
        </w:rPr>
        <w:lastRenderedPageBreak/>
        <w:t>三个支部略布局。完善校长负责制，合理设置职能科室，推行群科制管理模式，中层领导实行竞聘上岗。实施以校长为核心、科室为主体、专业组为基础、班级为根本的层级管理模式，以专业群为单位强化教育教学管理。成立了理事会、教学指导委员会和教材管理委员会；完善工会和团组织制度，定期召开教代会和团代会，实现多元参与，行家督学。</w:t>
      </w:r>
    </w:p>
    <w:p w:rsidR="0074451A" w:rsidRDefault="00172AEF">
      <w:pPr>
        <w:adjustRightInd w:val="0"/>
        <w:spacing w:line="68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sz w:val="32"/>
          <w:szCs w:val="32"/>
        </w:rPr>
        <w:t>2</w:t>
      </w:r>
      <w:r>
        <w:rPr>
          <w:rFonts w:ascii="仿宋_GB2312" w:eastAsia="仿宋_GB2312" w:hAnsi="仿宋_GB2312" w:cs="仿宋_GB2312" w:hint="eastAsia"/>
          <w:b/>
          <w:sz w:val="32"/>
          <w:szCs w:val="32"/>
        </w:rPr>
        <w:t>、运行机制进一步创新。</w:t>
      </w:r>
      <w:r>
        <w:rPr>
          <w:rFonts w:ascii="仿宋_GB2312" w:eastAsia="仿宋_GB2312" w:hAnsi="仿宋_GB2312" w:cs="仿宋_GB2312" w:hint="eastAsia"/>
          <w:sz w:val="32"/>
          <w:szCs w:val="32"/>
        </w:rPr>
        <w:t>秉承“立德树人”的办学宗旨，坚持把德育工作放在学校工作的首位，建立了高标准的心理咨询室。制定了《学</w:t>
      </w:r>
      <w:r>
        <w:rPr>
          <w:rFonts w:ascii="仿宋_GB2312" w:eastAsia="仿宋_GB2312" w:hAnsi="仿宋_GB2312" w:cs="仿宋_GB2312" w:hint="eastAsia"/>
          <w:sz w:val="32"/>
          <w:szCs w:val="32"/>
        </w:rPr>
        <w:t>校教学管理章程》，依托企业开发出校本课程，专业教学做到“教、学、做”三合一。强化了班主任队伍、学生会和团委会组织建设，充分发挥班主任和学生干部的作用。制定了《学校后勤管理章程》，食堂实行社会化托管经营，成立膳食委员会监督食堂经营，确保了师生对后勤服务工作的满意率达</w:t>
      </w:r>
      <w:r>
        <w:rPr>
          <w:rFonts w:ascii="仿宋_GB2312" w:eastAsia="仿宋_GB2312" w:hAnsi="仿宋_GB2312" w:cs="仿宋_GB2312" w:hint="eastAsia"/>
          <w:sz w:val="32"/>
          <w:szCs w:val="32"/>
        </w:rPr>
        <w:t>95%</w:t>
      </w:r>
      <w:r>
        <w:rPr>
          <w:rFonts w:ascii="仿宋_GB2312" w:eastAsia="仿宋_GB2312" w:hAnsi="仿宋_GB2312" w:cs="仿宋_GB2312" w:hint="eastAsia"/>
          <w:sz w:val="32"/>
          <w:szCs w:val="32"/>
        </w:rPr>
        <w:t>以上。坚持行政领导值班值守，实行二十四小时巡逻值班制度，使学校无重大安全事故发生。</w:t>
      </w:r>
    </w:p>
    <w:p w:rsidR="0074451A" w:rsidRDefault="00172AEF">
      <w:pPr>
        <w:adjustRightInd w:val="0"/>
        <w:spacing w:line="68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sz w:val="32"/>
          <w:szCs w:val="32"/>
        </w:rPr>
        <w:t>3</w:t>
      </w:r>
      <w:r>
        <w:rPr>
          <w:rFonts w:ascii="仿宋_GB2312" w:eastAsia="仿宋_GB2312" w:hAnsi="仿宋_GB2312" w:cs="仿宋_GB2312" w:hint="eastAsia"/>
          <w:b/>
          <w:sz w:val="32"/>
          <w:szCs w:val="32"/>
        </w:rPr>
        <w:t>、关键领域进一步改革。</w:t>
      </w:r>
      <w:r>
        <w:rPr>
          <w:rFonts w:ascii="仿宋_GB2312" w:eastAsia="仿宋_GB2312" w:hAnsi="仿宋_GB2312" w:cs="仿宋_GB2312" w:hint="eastAsia"/>
          <w:sz w:val="32"/>
          <w:szCs w:val="32"/>
        </w:rPr>
        <w:t>成立了教学诊改管理委员会，建立常态化的教学工作诊改管理制度，开展多层面多维度的诊改工作。引入了竞争激励机制，实行全员竞聘上岗。改进了绩</w:t>
      </w:r>
      <w:r>
        <w:rPr>
          <w:rFonts w:ascii="仿宋_GB2312" w:eastAsia="仿宋_GB2312" w:hAnsi="仿宋_GB2312" w:cs="仿宋_GB2312" w:hint="eastAsia"/>
          <w:sz w:val="32"/>
          <w:szCs w:val="32"/>
        </w:rPr>
        <w:t>效考核机制，实现教工优质优酬。</w:t>
      </w:r>
    </w:p>
    <w:p w:rsidR="0074451A" w:rsidRDefault="00172AEF">
      <w:pPr>
        <w:spacing w:line="680" w:lineRule="exact"/>
        <w:ind w:firstLineChars="200" w:firstLine="640"/>
        <w:jc w:val="both"/>
        <w:rPr>
          <w:rFonts w:ascii="Times New Roman" w:eastAsia="黑体" w:hAnsi="Times New Roman" w:cs="Times New Roman"/>
          <w:sz w:val="32"/>
          <w:szCs w:val="32"/>
        </w:rPr>
      </w:pPr>
      <w:r>
        <w:rPr>
          <w:rFonts w:ascii="黑体" w:eastAsia="黑体" w:hAnsi="黑体" w:cs="Times New Roman" w:hint="eastAsia"/>
          <w:sz w:val="32"/>
          <w:szCs w:val="32"/>
        </w:rPr>
        <w:lastRenderedPageBreak/>
        <w:t>三、存在的问题</w:t>
      </w:r>
    </w:p>
    <w:p w:rsidR="0074451A" w:rsidRDefault="00172AEF">
      <w:pPr>
        <w:spacing w:line="680" w:lineRule="exact"/>
        <w:ind w:firstLineChars="200" w:firstLine="640"/>
        <w:jc w:val="both"/>
        <w:rPr>
          <w:rFonts w:ascii="仿宋_GB2312" w:eastAsia="仿宋_GB2312" w:hAnsi="仿宋_GB2312" w:cs="仿宋_GB2312"/>
          <w:sz w:val="32"/>
          <w:szCs w:val="32"/>
        </w:rPr>
      </w:pPr>
      <w:r>
        <w:rPr>
          <w:rFonts w:ascii="仿宋_GB2312" w:eastAsia="仿宋_GB2312" w:hAnsi="仿宋_GB2312" w:cs="仿宋_GB2312" w:hint="eastAsia"/>
          <w:sz w:val="32"/>
          <w:szCs w:val="32"/>
          <w:lang w:val="en-US"/>
        </w:rPr>
        <w:t>按照省卓越校建设要求，经过认真自查，我们认为在资金管理、安排、使用上能按项目计划来执行，但也存在一些不容忽视的问题，主要有如下几点：</w:t>
      </w:r>
    </w:p>
    <w:p w:rsidR="0074451A" w:rsidRDefault="00172AEF">
      <w:pPr>
        <w:spacing w:line="680" w:lineRule="exact"/>
        <w:ind w:firstLineChars="200" w:firstLine="640"/>
        <w:jc w:val="both"/>
        <w:rPr>
          <w:rFonts w:ascii="仿宋_GB2312" w:eastAsia="仿宋_GB2312" w:hAnsi="仿宋_GB2312" w:cs="仿宋_GB2312"/>
          <w:sz w:val="32"/>
          <w:szCs w:val="32"/>
        </w:rPr>
      </w:pPr>
      <w:r>
        <w:rPr>
          <w:rFonts w:ascii="仿宋_GB2312" w:eastAsia="仿宋_GB2312" w:hAnsi="仿宋_GB2312" w:cs="仿宋_GB2312" w:hint="eastAsia"/>
          <w:sz w:val="32"/>
          <w:szCs w:val="32"/>
          <w:lang w:val="en-US"/>
        </w:rPr>
        <w:t>（一）存在的问题</w:t>
      </w:r>
    </w:p>
    <w:p w:rsidR="0074451A" w:rsidRDefault="00172AEF">
      <w:pPr>
        <w:spacing w:line="680" w:lineRule="exact"/>
        <w:ind w:firstLineChars="200" w:firstLine="640"/>
        <w:jc w:val="both"/>
        <w:rPr>
          <w:rFonts w:ascii="仿宋_GB2312" w:eastAsia="仿宋_GB2312" w:hAnsi="仿宋_GB2312" w:cs="仿宋_GB2312"/>
          <w:sz w:val="32"/>
          <w:szCs w:val="32"/>
        </w:rPr>
      </w:pPr>
      <w:r>
        <w:rPr>
          <w:rFonts w:ascii="仿宋_GB2312" w:eastAsia="仿宋_GB2312" w:hAnsi="仿宋_GB2312" w:cs="仿宋_GB2312" w:hint="eastAsia"/>
          <w:sz w:val="32"/>
          <w:szCs w:val="32"/>
          <w:lang w:val="en-US"/>
        </w:rPr>
        <w:t>1</w:t>
      </w:r>
      <w:r>
        <w:rPr>
          <w:rFonts w:ascii="仿宋_GB2312" w:eastAsia="仿宋_GB2312" w:hAnsi="仿宋_GB2312" w:cs="仿宋_GB2312" w:hint="eastAsia"/>
          <w:sz w:val="32"/>
          <w:szCs w:val="32"/>
          <w:lang w:val="en-US"/>
        </w:rPr>
        <w:t>、项目资金预算不够完整，部分资金未列入预算；专项资金未能及时拨付到位，零星分散造成资金的效益性不高。</w:t>
      </w:r>
    </w:p>
    <w:p w:rsidR="0074451A" w:rsidRDefault="00172AEF">
      <w:pPr>
        <w:spacing w:line="680" w:lineRule="exact"/>
        <w:ind w:firstLineChars="200" w:firstLine="640"/>
        <w:jc w:val="both"/>
        <w:rPr>
          <w:rFonts w:ascii="仿宋_GB2312" w:eastAsia="仿宋_GB2312" w:hAnsi="仿宋_GB2312" w:cs="仿宋_GB2312"/>
          <w:sz w:val="32"/>
          <w:szCs w:val="32"/>
        </w:rPr>
      </w:pPr>
      <w:r>
        <w:rPr>
          <w:rFonts w:ascii="仿宋_GB2312" w:eastAsia="仿宋_GB2312" w:hAnsi="仿宋_GB2312" w:cs="仿宋_GB2312" w:hint="eastAsia"/>
          <w:sz w:val="32"/>
          <w:szCs w:val="32"/>
          <w:lang w:val="en-US"/>
        </w:rPr>
        <w:t>2</w:t>
      </w:r>
      <w:r>
        <w:rPr>
          <w:rFonts w:ascii="仿宋_GB2312" w:eastAsia="仿宋_GB2312" w:hAnsi="仿宋_GB2312" w:cs="仿宋_GB2312" w:hint="eastAsia"/>
          <w:sz w:val="32"/>
          <w:szCs w:val="32"/>
          <w:lang w:val="en-US"/>
        </w:rPr>
        <w:t>、县财政未能按建设方案足额落实配套资金和项目经费，建设过程中学校也有临时占用部分专项资金弥补其它经费缺口的现象</w:t>
      </w:r>
      <w:r>
        <w:rPr>
          <w:rFonts w:ascii="仿宋_GB2312" w:eastAsia="仿宋_GB2312" w:hAnsi="仿宋_GB2312" w:cs="仿宋_GB2312" w:hint="eastAsia"/>
          <w:sz w:val="32"/>
          <w:szCs w:val="32"/>
        </w:rPr>
        <w:t>；</w:t>
      </w:r>
    </w:p>
    <w:p w:rsidR="0074451A" w:rsidRDefault="00172AEF">
      <w:pPr>
        <w:spacing w:line="680" w:lineRule="exact"/>
        <w:ind w:firstLineChars="200" w:firstLine="640"/>
        <w:jc w:val="both"/>
        <w:rPr>
          <w:rFonts w:ascii="仿宋_GB2312" w:eastAsia="仿宋_GB2312" w:hAnsi="仿宋_GB2312" w:cs="仿宋_GB2312"/>
          <w:sz w:val="32"/>
          <w:szCs w:val="32"/>
        </w:rPr>
      </w:pPr>
      <w:r>
        <w:rPr>
          <w:rFonts w:ascii="仿宋_GB2312" w:eastAsia="仿宋_GB2312" w:hAnsi="仿宋_GB2312" w:cs="仿宋_GB2312" w:hint="eastAsia"/>
          <w:sz w:val="32"/>
          <w:szCs w:val="32"/>
          <w:lang w:val="en-US"/>
        </w:rPr>
        <w:t>3</w:t>
      </w:r>
      <w:r>
        <w:rPr>
          <w:rFonts w:ascii="仿宋_GB2312" w:eastAsia="仿宋_GB2312" w:hAnsi="仿宋_GB2312" w:cs="仿宋_GB2312" w:hint="eastAsia"/>
          <w:sz w:val="32"/>
          <w:szCs w:val="32"/>
          <w:lang w:val="en-US"/>
        </w:rPr>
        <w:t>、</w:t>
      </w:r>
      <w:r>
        <w:rPr>
          <w:rFonts w:ascii="仿宋_GB2312" w:eastAsia="仿宋_GB2312" w:hAnsi="仿宋_GB2312" w:cs="仿宋_GB2312" w:hint="eastAsia"/>
          <w:sz w:val="32"/>
          <w:szCs w:val="32"/>
        </w:rPr>
        <w:t>除基本保障治理能力建设、教师队伍建设和科研建设的经费外，</w:t>
      </w:r>
      <w:r>
        <w:rPr>
          <w:rFonts w:ascii="仿宋_GB2312" w:eastAsia="仿宋_GB2312" w:hAnsi="仿宋_GB2312" w:cs="仿宋_GB2312" w:hint="eastAsia"/>
          <w:sz w:val="32"/>
          <w:szCs w:val="32"/>
          <w:lang w:val="en-US"/>
        </w:rPr>
        <w:t>用于畜牧养殖专业群建设资金明显不</w:t>
      </w:r>
      <w:r>
        <w:rPr>
          <w:rFonts w:ascii="仿宋_GB2312" w:eastAsia="仿宋_GB2312" w:hAnsi="仿宋_GB2312" w:cs="仿宋_GB2312" w:hint="eastAsia"/>
          <w:sz w:val="32"/>
          <w:szCs w:val="32"/>
          <w:lang w:val="en-US"/>
        </w:rPr>
        <w:t>足，项目未能按期完工和及时验收。</w:t>
      </w:r>
    </w:p>
    <w:p w:rsidR="0074451A" w:rsidRDefault="00172AEF">
      <w:pPr>
        <w:spacing w:line="6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lang w:val="en-US"/>
        </w:rPr>
        <w:t>（二）产生问题的原因</w:t>
      </w:r>
    </w:p>
    <w:p w:rsidR="0074451A" w:rsidRDefault="00172AEF">
      <w:pPr>
        <w:spacing w:line="6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lang w:val="en-US"/>
        </w:rPr>
        <w:t>1</w:t>
      </w:r>
      <w:r>
        <w:rPr>
          <w:rFonts w:ascii="仿宋_GB2312" w:eastAsia="仿宋_GB2312" w:hAnsi="仿宋_GB2312" w:cs="仿宋_GB2312" w:hint="eastAsia"/>
          <w:sz w:val="32"/>
          <w:szCs w:val="32"/>
          <w:lang w:val="en-US"/>
        </w:rPr>
        <w:t>、专项资金预算管理比较粗放，缺乏统筹考虑；</w:t>
      </w:r>
    </w:p>
    <w:p w:rsidR="0074451A" w:rsidRDefault="00172AEF">
      <w:pPr>
        <w:spacing w:line="6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lang w:val="en-US"/>
        </w:rPr>
        <w:t>2</w:t>
      </w:r>
      <w:r>
        <w:rPr>
          <w:rFonts w:ascii="仿宋_GB2312" w:eastAsia="仿宋_GB2312" w:hAnsi="仿宋_GB2312" w:cs="仿宋_GB2312" w:hint="eastAsia"/>
          <w:sz w:val="32"/>
          <w:szCs w:val="32"/>
          <w:lang w:val="en-US"/>
        </w:rPr>
        <w:t>、县财政紧张，项目建设配套资金筹集难度大；学校发展过快，基础设施建设资金严重不足；</w:t>
      </w:r>
    </w:p>
    <w:p w:rsidR="0074451A" w:rsidRDefault="00172AEF">
      <w:pPr>
        <w:spacing w:line="680" w:lineRule="exact"/>
        <w:ind w:firstLineChars="200" w:firstLine="640"/>
        <w:rPr>
          <w:rFonts w:ascii="仿宋" w:eastAsia="仿宋" w:hAnsi="仿宋" w:cs="Times New Roman"/>
          <w:sz w:val="32"/>
          <w:szCs w:val="32"/>
        </w:rPr>
      </w:pPr>
      <w:r>
        <w:rPr>
          <w:rFonts w:ascii="仿宋_GB2312" w:eastAsia="仿宋_GB2312" w:hAnsi="仿宋_GB2312" w:cs="仿宋_GB2312" w:hint="eastAsia"/>
          <w:sz w:val="32"/>
          <w:szCs w:val="32"/>
          <w:lang w:val="en-US"/>
        </w:rPr>
        <w:t>3</w:t>
      </w:r>
      <w:r>
        <w:rPr>
          <w:rFonts w:ascii="仿宋_GB2312" w:eastAsia="仿宋_GB2312" w:hAnsi="仿宋_GB2312" w:cs="仿宋_GB2312" w:hint="eastAsia"/>
          <w:sz w:val="32"/>
          <w:szCs w:val="32"/>
          <w:lang w:val="en-US"/>
        </w:rPr>
        <w:t>、制度不够完善，监督检查不够有力。财政部门虽然对专项资金使用建立了相对成熟的绩效评价体系，但由于操作过程繁琐，牵涉的指标复杂，影响到资金管理工作的重要</w:t>
      </w:r>
      <w:r>
        <w:rPr>
          <w:rFonts w:ascii="仿宋_GB2312" w:eastAsia="仿宋_GB2312" w:hAnsi="仿宋_GB2312" w:cs="仿宋_GB2312" w:hint="eastAsia"/>
          <w:sz w:val="32"/>
          <w:szCs w:val="32"/>
          <w:lang w:val="en-US"/>
        </w:rPr>
        <w:lastRenderedPageBreak/>
        <w:t>性和高效性原则，难以发挥绩效评价应有的效果</w:t>
      </w:r>
      <w:r>
        <w:rPr>
          <w:rFonts w:ascii="仿宋_GB2312" w:eastAsia="仿宋_GB2312" w:hAnsi="仿宋_GB2312" w:cs="仿宋_GB2312" w:hint="eastAsia"/>
          <w:sz w:val="32"/>
          <w:szCs w:val="32"/>
          <w:lang w:val="en-US"/>
        </w:rPr>
        <w:t>,</w:t>
      </w:r>
      <w:r>
        <w:rPr>
          <w:rFonts w:ascii="仿宋_GB2312" w:eastAsia="仿宋_GB2312" w:hAnsi="仿宋_GB2312" w:cs="仿宋_GB2312" w:hint="eastAsia"/>
          <w:sz w:val="32"/>
          <w:szCs w:val="32"/>
          <w:lang w:val="en-US"/>
        </w:rPr>
        <w:t>降低了专项资金执行的公平性和合理性。</w:t>
      </w:r>
      <w:r>
        <w:rPr>
          <w:rFonts w:ascii="仿宋_GB2312" w:eastAsia="仿宋_GB2312" w:hAnsi="仿宋_GB2312" w:cs="仿宋_GB2312" w:hint="eastAsia"/>
          <w:sz w:val="32"/>
          <w:szCs w:val="32"/>
          <w:lang w:val="en-US"/>
        </w:rPr>
        <w:t xml:space="preserve"> </w:t>
      </w:r>
      <w:r>
        <w:rPr>
          <w:rFonts w:ascii="仿宋" w:eastAsia="仿宋" w:hAnsi="仿宋" w:cs="Times New Roman" w:hint="eastAsia"/>
          <w:sz w:val="32"/>
          <w:szCs w:val="32"/>
          <w:lang w:val="en-US"/>
        </w:rPr>
        <w:t xml:space="preserve"> </w:t>
      </w:r>
      <w:r>
        <w:rPr>
          <w:rFonts w:hint="eastAsia"/>
        </w:rPr>
        <w:t xml:space="preserve"> </w:t>
      </w:r>
    </w:p>
    <w:p w:rsidR="0074451A" w:rsidRDefault="00172AEF">
      <w:pPr>
        <w:numPr>
          <w:ilvl w:val="0"/>
          <w:numId w:val="1"/>
        </w:numPr>
        <w:spacing w:line="680" w:lineRule="exact"/>
        <w:ind w:firstLineChars="200" w:firstLine="640"/>
        <w:jc w:val="both"/>
        <w:rPr>
          <w:rFonts w:ascii="黑体" w:eastAsia="黑体" w:hAnsi="黑体" w:cs="Times New Roman"/>
          <w:sz w:val="32"/>
          <w:szCs w:val="32"/>
        </w:rPr>
      </w:pPr>
      <w:r>
        <w:rPr>
          <w:rFonts w:ascii="黑体" w:eastAsia="黑体" w:hAnsi="黑体" w:cs="Times New Roman" w:hint="eastAsia"/>
          <w:sz w:val="32"/>
          <w:szCs w:val="32"/>
        </w:rPr>
        <w:t>下一步工作打算</w:t>
      </w:r>
      <w:r>
        <w:rPr>
          <w:rFonts w:ascii="黑体" w:eastAsia="黑体" w:hAnsi="黑体" w:cs="Times New Roman" w:hint="eastAsia"/>
          <w:sz w:val="32"/>
          <w:szCs w:val="32"/>
          <w:lang w:val="en-US"/>
        </w:rPr>
        <w:t xml:space="preserve">                                                                                                                                                                                                                                                                </w:t>
      </w:r>
      <w:r>
        <w:rPr>
          <w:rFonts w:ascii="黑体" w:eastAsia="黑体" w:hAnsi="黑体" w:cs="Times New Roman" w:hint="eastAsia"/>
          <w:sz w:val="32"/>
          <w:szCs w:val="32"/>
          <w:lang w:val="en-US"/>
        </w:rPr>
        <w:t xml:space="preserve">                                                                                                                                                                                                                                                                </w:t>
      </w:r>
      <w:r>
        <w:rPr>
          <w:rFonts w:ascii="黑体" w:eastAsia="黑体" w:hAnsi="黑体" w:cs="Times New Roman" w:hint="eastAsia"/>
          <w:sz w:val="32"/>
          <w:szCs w:val="32"/>
          <w:lang w:val="en-US"/>
        </w:rPr>
        <w:t xml:space="preserve">                                                                                                                                                                                                                                                                </w:t>
      </w:r>
      <w:r>
        <w:rPr>
          <w:rFonts w:ascii="黑体" w:eastAsia="黑体" w:hAnsi="黑体" w:cs="Times New Roman" w:hint="eastAsia"/>
          <w:sz w:val="32"/>
          <w:szCs w:val="32"/>
          <w:lang w:val="en-US"/>
        </w:rPr>
        <w:t xml:space="preserve">                                                                                                                                                                                                                                                                </w:t>
      </w:r>
      <w:r>
        <w:rPr>
          <w:rFonts w:ascii="黑体" w:eastAsia="黑体" w:hAnsi="黑体" w:cs="Times New Roman" w:hint="eastAsia"/>
          <w:sz w:val="32"/>
          <w:szCs w:val="32"/>
          <w:lang w:val="en-US"/>
        </w:rPr>
        <w:t xml:space="preserve">                                                                                                                                                                                                                                                                </w:t>
      </w:r>
      <w:r>
        <w:rPr>
          <w:rFonts w:ascii="黑体" w:eastAsia="黑体" w:hAnsi="黑体" w:cs="Times New Roman" w:hint="eastAsia"/>
          <w:sz w:val="32"/>
          <w:szCs w:val="32"/>
          <w:lang w:val="en-US"/>
        </w:rPr>
        <w:t xml:space="preserve">                                                                                                                                                                                                                                                                </w:t>
      </w:r>
      <w:r>
        <w:rPr>
          <w:rFonts w:ascii="黑体" w:eastAsia="黑体" w:hAnsi="黑体" w:cs="Times New Roman" w:hint="eastAsia"/>
          <w:sz w:val="32"/>
          <w:szCs w:val="32"/>
          <w:lang w:val="en-US"/>
        </w:rPr>
        <w:t xml:space="preserve">                                                                                                                                                                                                                                                                </w:t>
      </w:r>
      <w:r>
        <w:rPr>
          <w:rFonts w:ascii="黑体" w:eastAsia="黑体" w:hAnsi="黑体" w:cs="Times New Roman" w:hint="eastAsia"/>
          <w:sz w:val="32"/>
          <w:szCs w:val="32"/>
          <w:lang w:val="en-US"/>
        </w:rPr>
        <w:t xml:space="preserve">                                                                                                                                                                                                                                                                </w:t>
      </w:r>
      <w:r>
        <w:rPr>
          <w:rFonts w:ascii="黑体" w:eastAsia="黑体" w:hAnsi="黑体" w:cs="Times New Roman" w:hint="eastAsia"/>
          <w:sz w:val="32"/>
          <w:szCs w:val="32"/>
          <w:lang w:val="en-US"/>
        </w:rPr>
        <w:t xml:space="preserve">                                                                                                                                                                                                                                                                </w:t>
      </w:r>
      <w:r>
        <w:rPr>
          <w:rFonts w:ascii="黑体" w:eastAsia="黑体" w:hAnsi="黑体" w:cs="Times New Roman" w:hint="eastAsia"/>
          <w:sz w:val="32"/>
          <w:szCs w:val="32"/>
          <w:lang w:val="en-US"/>
        </w:rPr>
        <w:t xml:space="preserve">                                                                                                                                                                                                                                                                </w:t>
      </w:r>
      <w:r>
        <w:rPr>
          <w:rFonts w:ascii="黑体" w:eastAsia="黑体" w:hAnsi="黑体" w:cs="Times New Roman" w:hint="eastAsia"/>
          <w:sz w:val="32"/>
          <w:szCs w:val="32"/>
          <w:lang w:val="en-US"/>
        </w:rPr>
        <w:t xml:space="preserve">                                                                                                                                                                                                                                                                </w:t>
      </w:r>
      <w:r>
        <w:rPr>
          <w:rFonts w:ascii="黑体" w:eastAsia="黑体" w:hAnsi="黑体" w:cs="Times New Roman" w:hint="eastAsia"/>
          <w:sz w:val="32"/>
          <w:szCs w:val="32"/>
          <w:lang w:val="en-US"/>
        </w:rPr>
        <w:t xml:space="preserve">                                                                                                                                                                                                                                                                </w:t>
      </w:r>
      <w:r>
        <w:rPr>
          <w:rFonts w:ascii="黑体" w:eastAsia="黑体" w:hAnsi="黑体" w:cs="Times New Roman" w:hint="eastAsia"/>
          <w:sz w:val="32"/>
          <w:szCs w:val="32"/>
          <w:lang w:val="en-US"/>
        </w:rPr>
        <w:t xml:space="preserve">                                                                                                                                                                                                                                                                </w:t>
      </w:r>
      <w:r>
        <w:rPr>
          <w:rFonts w:ascii="黑体" w:eastAsia="黑体" w:hAnsi="黑体" w:cs="Times New Roman" w:hint="eastAsia"/>
          <w:sz w:val="32"/>
          <w:szCs w:val="32"/>
          <w:lang w:val="en-US"/>
        </w:rPr>
        <w:t xml:space="preserve">                                                                                                                                                                                                                                                                </w:t>
      </w:r>
      <w:r>
        <w:rPr>
          <w:rFonts w:ascii="黑体" w:eastAsia="黑体" w:hAnsi="黑体" w:cs="Times New Roman" w:hint="eastAsia"/>
          <w:sz w:val="32"/>
          <w:szCs w:val="32"/>
          <w:lang w:val="en-US"/>
        </w:rPr>
        <w:t xml:space="preserve">                                                                                                                                                                                                                                                                </w:t>
      </w:r>
      <w:r>
        <w:rPr>
          <w:rFonts w:ascii="黑体" w:eastAsia="黑体" w:hAnsi="黑体" w:cs="Times New Roman" w:hint="eastAsia"/>
          <w:sz w:val="32"/>
          <w:szCs w:val="32"/>
          <w:lang w:val="en-US"/>
        </w:rPr>
        <w:t xml:space="preserve">                                                                                                                                                                                                                                                                </w:t>
      </w:r>
      <w:r>
        <w:rPr>
          <w:rFonts w:ascii="黑体" w:eastAsia="黑体" w:hAnsi="黑体" w:cs="Times New Roman" w:hint="eastAsia"/>
          <w:sz w:val="32"/>
          <w:szCs w:val="32"/>
          <w:lang w:val="en-US"/>
        </w:rPr>
        <w:t xml:space="preserve">                                                                                                                                                                                                                                                                </w:t>
      </w:r>
      <w:r>
        <w:rPr>
          <w:rFonts w:ascii="黑体" w:eastAsia="黑体" w:hAnsi="黑体" w:cs="Times New Roman" w:hint="eastAsia"/>
          <w:sz w:val="32"/>
          <w:szCs w:val="32"/>
          <w:lang w:val="en-US"/>
        </w:rPr>
        <w:t xml:space="preserve">                                                                                                                                                                                                                                                                </w:t>
      </w:r>
      <w:r>
        <w:rPr>
          <w:rFonts w:ascii="黑体" w:eastAsia="黑体" w:hAnsi="黑体" w:cs="Times New Roman" w:hint="eastAsia"/>
          <w:sz w:val="32"/>
          <w:szCs w:val="32"/>
          <w:lang w:val="en-US"/>
        </w:rPr>
        <w:t xml:space="preserve">                                                                                                                                                                                                                                                                </w:t>
      </w:r>
      <w:r>
        <w:rPr>
          <w:rFonts w:ascii="黑体" w:eastAsia="黑体" w:hAnsi="黑体" w:cs="Times New Roman" w:hint="eastAsia"/>
          <w:sz w:val="32"/>
          <w:szCs w:val="32"/>
          <w:lang w:val="en-US"/>
        </w:rPr>
        <w:t xml:space="preserve">                                                                                                                                                                                                                                                                </w:t>
      </w:r>
      <w:r>
        <w:rPr>
          <w:rFonts w:ascii="黑体" w:eastAsia="黑体" w:hAnsi="黑体" w:cs="Times New Roman" w:hint="eastAsia"/>
          <w:sz w:val="32"/>
          <w:szCs w:val="32"/>
          <w:lang w:val="en-US"/>
        </w:rPr>
        <w:t xml:space="preserve">                                                                                                                                                                                                                                                                </w:t>
      </w:r>
      <w:r>
        <w:rPr>
          <w:rFonts w:ascii="黑体" w:eastAsia="黑体" w:hAnsi="黑体" w:cs="Times New Roman" w:hint="eastAsia"/>
          <w:sz w:val="32"/>
          <w:szCs w:val="32"/>
          <w:lang w:val="en-US"/>
        </w:rPr>
        <w:t xml:space="preserve">                                                                                                                                                                                                                                                                </w:t>
      </w:r>
      <w:r>
        <w:rPr>
          <w:rFonts w:ascii="黑体" w:eastAsia="黑体" w:hAnsi="黑体" w:cs="Times New Roman" w:hint="eastAsia"/>
          <w:sz w:val="32"/>
          <w:szCs w:val="32"/>
          <w:lang w:val="en-US"/>
        </w:rPr>
        <w:t xml:space="preserve">                                                                                                                                                                                                                                                                </w:t>
      </w:r>
      <w:r>
        <w:rPr>
          <w:rFonts w:ascii="黑体" w:eastAsia="黑体" w:hAnsi="黑体" w:cs="Times New Roman" w:hint="eastAsia"/>
          <w:sz w:val="32"/>
          <w:szCs w:val="32"/>
          <w:lang w:val="en-US"/>
        </w:rPr>
        <w:t xml:space="preserve">                                                                                                                                                                                                                                                                </w:t>
      </w:r>
      <w:r>
        <w:rPr>
          <w:rFonts w:ascii="黑体" w:eastAsia="黑体" w:hAnsi="黑体" w:cs="Times New Roman" w:hint="eastAsia"/>
          <w:sz w:val="32"/>
          <w:szCs w:val="32"/>
          <w:lang w:val="en-US"/>
        </w:rPr>
        <w:t xml:space="preserve">                                                                                                                                                                                                                                                                </w:t>
      </w:r>
      <w:r>
        <w:rPr>
          <w:rFonts w:ascii="黑体" w:eastAsia="黑体" w:hAnsi="黑体" w:cs="Times New Roman" w:hint="eastAsia"/>
          <w:sz w:val="32"/>
          <w:szCs w:val="32"/>
          <w:lang w:val="en-US"/>
        </w:rPr>
        <w:t xml:space="preserve">                                                                                                                                                                                                                                                                </w:t>
      </w:r>
      <w:r>
        <w:rPr>
          <w:rFonts w:ascii="黑体" w:eastAsia="黑体" w:hAnsi="黑体" w:cs="Times New Roman" w:hint="eastAsia"/>
          <w:sz w:val="32"/>
          <w:szCs w:val="32"/>
          <w:lang w:val="en-US"/>
        </w:rPr>
        <w:t xml:space="preserve">                                                                                                                                                                                                                                                                </w:t>
      </w:r>
      <w:r>
        <w:rPr>
          <w:rFonts w:ascii="黑体" w:eastAsia="黑体" w:hAnsi="黑体" w:cs="Times New Roman" w:hint="eastAsia"/>
          <w:sz w:val="32"/>
          <w:szCs w:val="32"/>
          <w:lang w:val="en-US"/>
        </w:rPr>
        <w:t xml:space="preserve">                                                                                                                                                                                                                                                                </w:t>
      </w:r>
      <w:r>
        <w:rPr>
          <w:rFonts w:ascii="黑体" w:eastAsia="黑体" w:hAnsi="黑体" w:cs="Times New Roman" w:hint="eastAsia"/>
          <w:sz w:val="32"/>
          <w:szCs w:val="32"/>
          <w:lang w:val="en-US"/>
        </w:rPr>
        <w:t xml:space="preserve">                                                                                                                                                                                                                                                                </w:t>
      </w:r>
      <w:r>
        <w:rPr>
          <w:rFonts w:ascii="黑体" w:eastAsia="黑体" w:hAnsi="黑体" w:cs="Times New Roman" w:hint="eastAsia"/>
          <w:sz w:val="32"/>
          <w:szCs w:val="32"/>
          <w:lang w:val="en-US"/>
        </w:rPr>
        <w:t xml:space="preserve">                                                                                                                                                                                                                                                                </w:t>
      </w:r>
      <w:r>
        <w:rPr>
          <w:rFonts w:ascii="黑体" w:eastAsia="黑体" w:hAnsi="黑体" w:cs="Times New Roman" w:hint="eastAsia"/>
          <w:sz w:val="32"/>
          <w:szCs w:val="32"/>
          <w:lang w:val="en-US"/>
        </w:rPr>
        <w:t xml:space="preserve">                                                                                                                                                                                                                                                                </w:t>
      </w:r>
      <w:r>
        <w:rPr>
          <w:rFonts w:ascii="黑体" w:eastAsia="黑体" w:hAnsi="黑体" w:cs="Times New Roman" w:hint="eastAsia"/>
          <w:sz w:val="32"/>
          <w:szCs w:val="32"/>
          <w:lang w:val="en-US"/>
        </w:rPr>
        <w:t xml:space="preserve">                                                                                                        </w:t>
      </w:r>
    </w:p>
    <w:p w:rsidR="0074451A" w:rsidRDefault="00172AEF">
      <w:pPr>
        <w:spacing w:line="680" w:lineRule="exact"/>
        <w:ind w:firstLineChars="200" w:firstLine="640"/>
        <w:jc w:val="both"/>
        <w:rPr>
          <w:rFonts w:ascii="仿宋_GB2312" w:eastAsia="仿宋_GB2312" w:hAnsi="仿宋_GB2312" w:cs="仿宋_GB2312"/>
          <w:sz w:val="32"/>
          <w:szCs w:val="32"/>
        </w:rPr>
      </w:pPr>
      <w:r>
        <w:rPr>
          <w:rFonts w:ascii="仿宋_GB2312" w:eastAsia="仿宋_GB2312" w:hAnsi="仿宋_GB2312" w:cs="仿宋_GB2312" w:hint="eastAsia"/>
          <w:sz w:val="32"/>
          <w:szCs w:val="32"/>
          <w:lang w:val="en-US"/>
        </w:rPr>
        <w:t>为有序推进项目建设，确保项目建设优质、高效。通过这次自查，对项目资金管理使用存在的问题提出以下改进措施：</w:t>
      </w:r>
    </w:p>
    <w:p w:rsidR="0074451A" w:rsidRDefault="00172AEF">
      <w:pPr>
        <w:spacing w:line="680" w:lineRule="exact"/>
        <w:ind w:firstLineChars="200" w:firstLine="640"/>
        <w:jc w:val="both"/>
        <w:rPr>
          <w:rFonts w:ascii="仿宋_GB2312" w:eastAsia="仿宋_GB2312" w:hAnsi="仿宋_GB2312" w:cs="仿宋_GB2312"/>
          <w:sz w:val="32"/>
          <w:szCs w:val="32"/>
        </w:rPr>
      </w:pPr>
      <w:r>
        <w:rPr>
          <w:rFonts w:ascii="仿宋_GB2312" w:eastAsia="仿宋_GB2312" w:hAnsi="仿宋_GB2312" w:cs="仿宋_GB2312" w:hint="eastAsia"/>
          <w:sz w:val="32"/>
          <w:szCs w:val="32"/>
          <w:lang w:val="en-US"/>
        </w:rPr>
        <w:t>1</w:t>
      </w:r>
      <w:r>
        <w:rPr>
          <w:rFonts w:ascii="仿宋_GB2312" w:eastAsia="仿宋_GB2312" w:hAnsi="仿宋_GB2312" w:cs="仿宋_GB2312" w:hint="eastAsia"/>
          <w:sz w:val="32"/>
          <w:szCs w:val="32"/>
          <w:lang w:val="en-US"/>
        </w:rPr>
        <w:t>、多措并举，足额筹措项目建设经费</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lang w:val="en-US"/>
        </w:rPr>
        <w:t>学校将进一步积极争取领导支持，按规定程序保证学校政策内的资金及县财政项目配套资金尽快全部到位；拓宽联合办学渠道，增加行业企业投入；开源节流，学校自筹经费达到或超</w:t>
      </w:r>
      <w:r>
        <w:rPr>
          <w:rFonts w:ascii="仿宋_GB2312" w:eastAsia="仿宋_GB2312" w:hAnsi="仿宋_GB2312" w:cs="仿宋_GB2312" w:hint="eastAsia"/>
          <w:sz w:val="32"/>
          <w:szCs w:val="32"/>
          <w:lang w:val="en-US"/>
        </w:rPr>
        <w:t>过预算值。根据《溆浦县卓越中等职业学校建设项目资金管理实施细则》，严格执行《湖南省卓越职业院校建设计划项目管理暂行办法》有关规定，保证专项资金尽快足额地运用到相应的项目建设中去。</w:t>
      </w:r>
    </w:p>
    <w:p w:rsidR="0074451A" w:rsidRDefault="00172AEF">
      <w:pPr>
        <w:spacing w:line="680" w:lineRule="exact"/>
        <w:ind w:firstLineChars="200" w:firstLine="640"/>
        <w:jc w:val="both"/>
        <w:rPr>
          <w:rFonts w:ascii="仿宋_GB2312" w:eastAsia="仿宋_GB2312" w:hAnsi="仿宋_GB2312" w:cs="仿宋_GB2312"/>
          <w:sz w:val="32"/>
          <w:szCs w:val="32"/>
        </w:rPr>
      </w:pPr>
      <w:r>
        <w:rPr>
          <w:rFonts w:ascii="仿宋_GB2312" w:eastAsia="仿宋_GB2312" w:hAnsi="仿宋_GB2312" w:cs="仿宋_GB2312" w:hint="eastAsia"/>
          <w:sz w:val="32"/>
          <w:szCs w:val="32"/>
          <w:lang w:val="en-US"/>
        </w:rPr>
        <w:t>2</w:t>
      </w:r>
      <w:r>
        <w:rPr>
          <w:rFonts w:ascii="仿宋_GB2312" w:eastAsia="仿宋_GB2312" w:hAnsi="仿宋_GB2312" w:cs="仿宋_GB2312" w:hint="eastAsia"/>
          <w:sz w:val="32"/>
          <w:szCs w:val="32"/>
          <w:lang w:val="en-US"/>
        </w:rPr>
        <w:t>、健全预算项目和专项资金使用的考核机制。完善项目资金管理机构，全方位细化项目过程管理、项目质量评价及项目经费配套管理等制度；在专项资金管理制度上，从具体管理手段、管理措施上下功夫，规范操作办法。各专项建设工作小组定期报告建设进展、资金使用和管理情况，按照《湖南省卓越职业学校建设项目申报表》快速推进畜牧养殖</w:t>
      </w:r>
      <w:r>
        <w:rPr>
          <w:rFonts w:ascii="仿宋_GB2312" w:eastAsia="仿宋_GB2312" w:hAnsi="仿宋_GB2312" w:cs="仿宋_GB2312" w:hint="eastAsia"/>
          <w:sz w:val="32"/>
          <w:szCs w:val="32"/>
          <w:lang w:val="en-US"/>
        </w:rPr>
        <w:lastRenderedPageBreak/>
        <w:t>和加工制造两个特色专业群</w:t>
      </w:r>
      <w:r>
        <w:rPr>
          <w:rFonts w:ascii="仿宋_GB2312" w:eastAsia="仿宋_GB2312" w:hAnsi="仿宋_GB2312" w:cs="仿宋_GB2312" w:hint="eastAsia"/>
          <w:sz w:val="32"/>
          <w:szCs w:val="32"/>
          <w:lang w:val="en-US"/>
        </w:rPr>
        <w:t>建设，接受项目检查、评估和验收。</w:t>
      </w:r>
    </w:p>
    <w:p w:rsidR="0074451A" w:rsidRDefault="00172AEF">
      <w:pPr>
        <w:spacing w:line="680" w:lineRule="exact"/>
        <w:ind w:firstLineChars="200" w:firstLine="640"/>
        <w:jc w:val="both"/>
        <w:rPr>
          <w:rFonts w:ascii="仿宋_GB2312" w:eastAsia="仿宋_GB2312" w:hAnsi="仿宋_GB2312" w:cs="仿宋_GB2312"/>
          <w:sz w:val="32"/>
          <w:szCs w:val="32"/>
        </w:rPr>
      </w:pPr>
      <w:r>
        <w:rPr>
          <w:rFonts w:ascii="仿宋_GB2312" w:eastAsia="仿宋_GB2312" w:hAnsi="仿宋_GB2312" w:cs="仿宋_GB2312" w:hint="eastAsia"/>
          <w:sz w:val="32"/>
          <w:szCs w:val="32"/>
          <w:lang w:val="en-US"/>
        </w:rPr>
        <w:t>3</w:t>
      </w:r>
      <w:r>
        <w:rPr>
          <w:rFonts w:ascii="仿宋_GB2312" w:eastAsia="仿宋_GB2312" w:hAnsi="仿宋_GB2312" w:cs="仿宋_GB2312" w:hint="eastAsia"/>
          <w:sz w:val="32"/>
          <w:szCs w:val="32"/>
          <w:lang w:val="en-US"/>
        </w:rPr>
        <w:t>、强化监督管理，提高资金的使用效益。实行单独核算，确保资金专款专用，学校将进一步改进预算安排方法，使项目安排更加合理和科学。对照《项目建设经费预算表》，在保障教师队伍建设、治理能力建设、特色项目及科研建设经费的基础上，重点打造特色专业群建设绩效预算体系，集中财力搞好特色专业群配套设施建设，提高教学与实践、教研与教改项目实施绩效。加强监督工作，在建立专项资金管理有效机制的基础上，强化对专项资金的监督检查，重点检查分析资金安排使用的问题，促进资金分配的进一步合理和优化。</w:t>
      </w:r>
      <w:r>
        <w:rPr>
          <w:rFonts w:ascii="仿宋_GB2312" w:eastAsia="仿宋_GB2312" w:hAnsi="仿宋_GB2312" w:cs="仿宋_GB2312" w:hint="eastAsia"/>
          <w:sz w:val="32"/>
          <w:szCs w:val="32"/>
          <w:lang w:val="en-US"/>
        </w:rPr>
        <w:t xml:space="preserve"> </w:t>
      </w:r>
    </w:p>
    <w:p w:rsidR="0074451A" w:rsidRDefault="0074451A">
      <w:pPr>
        <w:spacing w:line="680" w:lineRule="exact"/>
        <w:ind w:firstLineChars="200" w:firstLine="640"/>
        <w:jc w:val="both"/>
        <w:rPr>
          <w:rFonts w:ascii="仿宋_GB2312" w:eastAsia="仿宋_GB2312" w:hAnsi="仿宋_GB2312" w:cs="仿宋_GB2312"/>
          <w:sz w:val="32"/>
          <w:szCs w:val="32"/>
        </w:rPr>
      </w:pPr>
    </w:p>
    <w:sectPr w:rsidR="0074451A">
      <w:footerReference w:type="even" r:id="rId9"/>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2AEF" w:rsidRDefault="00172AEF">
      <w:r>
        <w:separator/>
      </w:r>
    </w:p>
  </w:endnote>
  <w:endnote w:type="continuationSeparator" w:id="0">
    <w:p w:rsidR="00172AEF" w:rsidRDefault="00172A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方正小标宋简体">
    <w:altName w:val="Malgun Gothic Semilight"/>
    <w:charset w:val="86"/>
    <w:family w:val="script"/>
    <w:pitch w:val="default"/>
    <w:sig w:usb0="00000000" w:usb1="080E0000" w:usb2="00000000" w:usb3="00000000" w:csb0="00040000" w:csb1="00000000"/>
  </w:font>
  <w:font w:name="仿宋_GB2312">
    <w:altName w:val="仿宋"/>
    <w:charset w:val="86"/>
    <w:family w:val="modern"/>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451A" w:rsidRDefault="00172AEF">
    <w:pPr>
      <w:pStyle w:val="a3"/>
      <w:framePr w:wrap="around" w:vAnchor="text" w:hAnchor="margin" w:xAlign="center" w:y="1"/>
      <w:rPr>
        <w:rStyle w:val="a5"/>
      </w:rPr>
    </w:pPr>
    <w:r>
      <w:fldChar w:fldCharType="begin"/>
    </w:r>
    <w:r>
      <w:rPr>
        <w:rStyle w:val="a5"/>
      </w:rPr>
      <w:instrText xml:space="preserve">PAGE  </w:instrText>
    </w:r>
    <w:r>
      <w:fldChar w:fldCharType="end"/>
    </w:r>
  </w:p>
  <w:p w:rsidR="0074451A" w:rsidRDefault="00172AEF">
    <w:pPr>
      <w:pStyle w:val="a3"/>
      <w:framePr w:wrap="around" w:vAnchor="text" w:hAnchor="margin" w:xAlign="center" w:y="1"/>
      <w:rPr>
        <w:rStyle w:val="a5"/>
      </w:rPr>
    </w:pPr>
    <w:r>
      <w:rPr>
        <w:rStyle w:val="a5"/>
      </w:rPr>
      <w:t xml:space="preserve">PAGE  </w:t>
    </w:r>
  </w:p>
  <w:p w:rsidR="0074451A" w:rsidRDefault="0074451A">
    <w:pPr>
      <w:pStyle w:val="a3"/>
      <w:ind w:right="360" w:firstLine="360"/>
    </w:pPr>
  </w:p>
  <w:p w:rsidR="0074451A" w:rsidRDefault="0074451A"/>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451A" w:rsidRDefault="00172AEF">
    <w:pPr>
      <w:pStyle w:val="a3"/>
      <w:framePr w:wrap="around" w:vAnchor="text" w:hAnchor="margin" w:xAlign="center" w:y="1"/>
      <w:rPr>
        <w:rStyle w:val="a5"/>
      </w:rPr>
    </w:pPr>
    <w:r>
      <w:fldChar w:fldCharType="begin"/>
    </w:r>
    <w:r>
      <w:rPr>
        <w:rStyle w:val="a5"/>
      </w:rPr>
      <w:instrText xml:space="preserve">PAGE  </w:instrText>
    </w:r>
    <w:r>
      <w:fldChar w:fldCharType="separate"/>
    </w:r>
    <w:r w:rsidR="00BF332B">
      <w:rPr>
        <w:rStyle w:val="a5"/>
        <w:noProof/>
      </w:rPr>
      <w:t>2</w:t>
    </w:r>
    <w:r>
      <w:fldChar w:fldCharType="end"/>
    </w:r>
  </w:p>
  <w:p w:rsidR="0074451A" w:rsidRDefault="0074451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2AEF" w:rsidRDefault="00172AEF">
      <w:r>
        <w:separator/>
      </w:r>
    </w:p>
  </w:footnote>
  <w:footnote w:type="continuationSeparator" w:id="0">
    <w:p w:rsidR="00172AEF" w:rsidRDefault="00172AE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2190DBE"/>
    <w:multiLevelType w:val="singleLevel"/>
    <w:tmpl w:val="72190DBE"/>
    <w:lvl w:ilvl="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89065F"/>
    <w:rsid w:val="000525F0"/>
    <w:rsid w:val="000636DA"/>
    <w:rsid w:val="000866FE"/>
    <w:rsid w:val="000A3954"/>
    <w:rsid w:val="00110637"/>
    <w:rsid w:val="00172AEF"/>
    <w:rsid w:val="001C2F60"/>
    <w:rsid w:val="001F662E"/>
    <w:rsid w:val="001F7A75"/>
    <w:rsid w:val="00286386"/>
    <w:rsid w:val="002921C8"/>
    <w:rsid w:val="0029554C"/>
    <w:rsid w:val="002B3550"/>
    <w:rsid w:val="002C1B64"/>
    <w:rsid w:val="002E6DCE"/>
    <w:rsid w:val="002F34C1"/>
    <w:rsid w:val="00314796"/>
    <w:rsid w:val="003207AA"/>
    <w:rsid w:val="00345755"/>
    <w:rsid w:val="003B1AE3"/>
    <w:rsid w:val="003B1DAE"/>
    <w:rsid w:val="004048DD"/>
    <w:rsid w:val="0042441E"/>
    <w:rsid w:val="00437AB8"/>
    <w:rsid w:val="0044611F"/>
    <w:rsid w:val="004715E2"/>
    <w:rsid w:val="00500C62"/>
    <w:rsid w:val="00525A54"/>
    <w:rsid w:val="005426D4"/>
    <w:rsid w:val="00592E7E"/>
    <w:rsid w:val="005D3446"/>
    <w:rsid w:val="006650E0"/>
    <w:rsid w:val="00695CC9"/>
    <w:rsid w:val="006F4B8B"/>
    <w:rsid w:val="0070071F"/>
    <w:rsid w:val="0074451A"/>
    <w:rsid w:val="007A39B4"/>
    <w:rsid w:val="007A6A43"/>
    <w:rsid w:val="007D58B2"/>
    <w:rsid w:val="00861ABA"/>
    <w:rsid w:val="0087532E"/>
    <w:rsid w:val="00886EA7"/>
    <w:rsid w:val="0089065F"/>
    <w:rsid w:val="008C3ABE"/>
    <w:rsid w:val="008E28E0"/>
    <w:rsid w:val="00910222"/>
    <w:rsid w:val="00913984"/>
    <w:rsid w:val="009D6A74"/>
    <w:rsid w:val="009E094A"/>
    <w:rsid w:val="00A20612"/>
    <w:rsid w:val="00A23451"/>
    <w:rsid w:val="00A4078C"/>
    <w:rsid w:val="00AA4235"/>
    <w:rsid w:val="00AB4020"/>
    <w:rsid w:val="00AE23A3"/>
    <w:rsid w:val="00B60A1F"/>
    <w:rsid w:val="00B760CD"/>
    <w:rsid w:val="00BA525A"/>
    <w:rsid w:val="00BF332B"/>
    <w:rsid w:val="00C04293"/>
    <w:rsid w:val="00C15ACA"/>
    <w:rsid w:val="00C25862"/>
    <w:rsid w:val="00C269DD"/>
    <w:rsid w:val="00C67A85"/>
    <w:rsid w:val="00C7310A"/>
    <w:rsid w:val="00C76953"/>
    <w:rsid w:val="00CA4631"/>
    <w:rsid w:val="00CE223D"/>
    <w:rsid w:val="00CF7E56"/>
    <w:rsid w:val="00D05599"/>
    <w:rsid w:val="00D07D11"/>
    <w:rsid w:val="00D349DE"/>
    <w:rsid w:val="00DD5CEC"/>
    <w:rsid w:val="00E0129C"/>
    <w:rsid w:val="00E20343"/>
    <w:rsid w:val="00EE4472"/>
    <w:rsid w:val="00F367E3"/>
    <w:rsid w:val="00F42EE7"/>
    <w:rsid w:val="00F77104"/>
    <w:rsid w:val="00FF1690"/>
    <w:rsid w:val="00FF1AE3"/>
    <w:rsid w:val="00FF29C6"/>
    <w:rsid w:val="00FF3735"/>
    <w:rsid w:val="20F4706E"/>
    <w:rsid w:val="4A1D47C0"/>
    <w:rsid w:val="4EBD4BF2"/>
    <w:rsid w:val="52B243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semiHidden="0"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semiHidden="0" w:uiPriority="0" w:qFormat="1"/>
    <w:lsdException w:name="caption" w:uiPriority="35" w:qFormat="1"/>
    <w:lsdException w:name="page number" w:semiHidden="0" w:uiPriority="0" w:unhideWhenUsed="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pPr>
      <w:widowControl w:val="0"/>
      <w:autoSpaceDE w:val="0"/>
      <w:autoSpaceDN w:val="0"/>
    </w:pPr>
    <w:rPr>
      <w:rFonts w:ascii="宋体" w:eastAsia="宋体" w:hAnsi="宋体" w:cs="宋体"/>
      <w:sz w:val="22"/>
      <w:szCs w:val="22"/>
      <w:lang w:val="zh-CN" w:bidi="zh-CN"/>
    </w:rPr>
  </w:style>
  <w:style w:type="paragraph" w:styleId="2">
    <w:name w:val="heading 2"/>
    <w:basedOn w:val="a"/>
    <w:next w:val="a"/>
    <w:link w:val="2Char"/>
    <w:unhideWhenUsed/>
    <w:qFormat/>
    <w:pPr>
      <w:keepNext/>
      <w:keepLines/>
      <w:spacing w:before="260" w:after="260" w:line="415" w:lineRule="auto"/>
      <w:outlineLvl w:val="1"/>
    </w:pPr>
    <w:rPr>
      <w:rFonts w:ascii="Cambria" w:hAnsi="Cambria"/>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nhideWhenUsed/>
    <w:qFormat/>
    <w:pPr>
      <w:tabs>
        <w:tab w:val="center" w:pos="4153"/>
        <w:tab w:val="right" w:pos="8306"/>
      </w:tabs>
      <w:snapToGrid w:val="0"/>
    </w:pPr>
    <w:rPr>
      <w:sz w:val="18"/>
      <w:szCs w:val="18"/>
    </w:rPr>
  </w:style>
  <w:style w:type="paragraph" w:styleId="a4">
    <w:name w:val="header"/>
    <w:basedOn w:val="a"/>
    <w:link w:val="Char0"/>
    <w:uiPriority w:val="99"/>
    <w:semiHidden/>
    <w:unhideWhenUsed/>
    <w:pPr>
      <w:pBdr>
        <w:bottom w:val="single" w:sz="6" w:space="1" w:color="auto"/>
      </w:pBdr>
      <w:tabs>
        <w:tab w:val="center" w:pos="4153"/>
        <w:tab w:val="right" w:pos="8306"/>
      </w:tabs>
      <w:snapToGrid w:val="0"/>
      <w:jc w:val="center"/>
    </w:pPr>
    <w:rPr>
      <w:sz w:val="18"/>
      <w:szCs w:val="18"/>
    </w:rPr>
  </w:style>
  <w:style w:type="character" w:styleId="a5">
    <w:name w:val="page number"/>
    <w:basedOn w:val="a0"/>
  </w:style>
  <w:style w:type="character" w:customStyle="1" w:styleId="2Char">
    <w:name w:val="标题 2 Char"/>
    <w:basedOn w:val="a0"/>
    <w:link w:val="2"/>
    <w:qFormat/>
    <w:rPr>
      <w:rFonts w:ascii="Cambria" w:eastAsia="宋体" w:hAnsi="Cambria" w:cs="宋体"/>
      <w:b/>
      <w:bCs/>
      <w:kern w:val="0"/>
      <w:sz w:val="32"/>
      <w:szCs w:val="32"/>
      <w:lang w:val="zh-CN" w:bidi="zh-CN"/>
    </w:rPr>
  </w:style>
  <w:style w:type="character" w:customStyle="1" w:styleId="Char0">
    <w:name w:val="页眉 Char"/>
    <w:basedOn w:val="a0"/>
    <w:link w:val="a4"/>
    <w:uiPriority w:val="99"/>
    <w:semiHidden/>
    <w:rPr>
      <w:rFonts w:ascii="宋体" w:eastAsia="宋体" w:hAnsi="宋体" w:cs="宋体"/>
      <w:kern w:val="0"/>
      <w:sz w:val="18"/>
      <w:szCs w:val="18"/>
      <w:lang w:val="zh-CN" w:bidi="zh-CN"/>
    </w:rPr>
  </w:style>
  <w:style w:type="character" w:customStyle="1" w:styleId="Char">
    <w:name w:val="页脚 Char"/>
    <w:basedOn w:val="a0"/>
    <w:link w:val="a3"/>
    <w:uiPriority w:val="99"/>
    <w:semiHidden/>
    <w:rPr>
      <w:rFonts w:ascii="宋体" w:eastAsia="宋体" w:hAnsi="宋体" w:cs="宋体"/>
      <w:kern w:val="0"/>
      <w:sz w:val="18"/>
      <w:szCs w:val="18"/>
      <w:lang w:val="zh-CN" w:bidi="zh-CN"/>
    </w:rPr>
  </w:style>
  <w:style w:type="character" w:customStyle="1" w:styleId="Char1">
    <w:name w:val="页脚 Char1"/>
    <w:basedOn w:val="a0"/>
    <w:rPr>
      <w:rFonts w:eastAsia="宋体"/>
      <w:kern w:val="2"/>
      <w:sz w:val="18"/>
      <w:szCs w:val="18"/>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10</Pages>
  <Words>1850</Words>
  <Characters>10548</Characters>
  <Application>Microsoft Office Word</Application>
  <DocSecurity>0</DocSecurity>
  <Lines>87</Lines>
  <Paragraphs>24</Paragraphs>
  <ScaleCrop>false</ScaleCrop>
  <Company>QBPC</Company>
  <LinksUpToDate>false</LinksUpToDate>
  <CharactersWithSpaces>12374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xb21cn</dc:creator>
  <cp:lastModifiedBy>xb21cn</cp:lastModifiedBy>
  <cp:revision>4</cp:revision>
  <dcterms:created xsi:type="dcterms:W3CDTF">2021-05-14T06:52:00Z</dcterms:created>
  <dcterms:modified xsi:type="dcterms:W3CDTF">2021-05-16T05:14:00Z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039056D534814D55B311D6F03EAE4714</vt:lpwstr>
  </property>
</Properties>
</file>